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DC58" w14:textId="77777777" w:rsidR="00053FFB" w:rsidRPr="00557116" w:rsidRDefault="00000000">
      <w:pPr>
        <w:spacing w:after="0" w:line="285" w:lineRule="auto"/>
        <w:ind w:left="120" w:hanging="120"/>
        <w:jc w:val="left"/>
        <w:rPr>
          <w:b/>
          <w:color w:val="2F5496"/>
        </w:rPr>
      </w:pPr>
      <w:r w:rsidRPr="00557116">
        <w:rPr>
          <w:b/>
          <w:color w:val="2F5496"/>
          <w:u w:val="single" w:color="2F5496"/>
        </w:rPr>
        <w:t>Meede 5 Sotsiaalvaldkonna arendamine</w:t>
      </w:r>
      <w:r w:rsidRPr="00557116">
        <w:rPr>
          <w:b/>
          <w:color w:val="2F5496"/>
        </w:rPr>
        <w:t xml:space="preserve"> </w:t>
      </w:r>
    </w:p>
    <w:p w14:paraId="26D14A58" w14:textId="2E127345" w:rsidR="00FF3200" w:rsidRPr="00557116" w:rsidRDefault="00000000" w:rsidP="00053FFB">
      <w:pPr>
        <w:pStyle w:val="Loendilik"/>
        <w:numPr>
          <w:ilvl w:val="0"/>
          <w:numId w:val="5"/>
        </w:numPr>
        <w:spacing w:after="0" w:line="285" w:lineRule="auto"/>
        <w:jc w:val="left"/>
      </w:pPr>
      <w:r w:rsidRPr="00557116">
        <w:rPr>
          <w:b/>
        </w:rPr>
        <w:t xml:space="preserve">Strateegia meetme nimetus </w:t>
      </w:r>
      <w:r w:rsidRPr="00557116">
        <w:rPr>
          <w:b/>
        </w:rPr>
        <w:tab/>
        <w:t xml:space="preserve"> </w:t>
      </w:r>
      <w:r w:rsidRPr="00557116">
        <w:t xml:space="preserve">Meede 5 Sotsiaalvaldkonna arendamine  </w:t>
      </w:r>
    </w:p>
    <w:p w14:paraId="26D14A59" w14:textId="77777777" w:rsidR="00FF3200" w:rsidRPr="00557116" w:rsidRDefault="00000000">
      <w:pPr>
        <w:spacing w:after="11" w:line="259" w:lineRule="auto"/>
        <w:ind w:left="720" w:right="0" w:firstLine="0"/>
        <w:jc w:val="left"/>
      </w:pPr>
      <w:r w:rsidRPr="00557116">
        <w:t xml:space="preserve"> </w:t>
      </w:r>
    </w:p>
    <w:p w14:paraId="26D14A5A" w14:textId="461754D3" w:rsidR="00FF3200" w:rsidRPr="00557116" w:rsidRDefault="00000000" w:rsidP="00053FFB">
      <w:pPr>
        <w:pStyle w:val="Loendilik"/>
        <w:numPr>
          <w:ilvl w:val="0"/>
          <w:numId w:val="5"/>
        </w:numPr>
        <w:spacing w:after="109"/>
        <w:ind w:right="0"/>
      </w:pPr>
      <w:r w:rsidRPr="00557116">
        <w:rPr>
          <w:b/>
        </w:rPr>
        <w:t xml:space="preserve">Strateegia meetme rakendamise vajaduse lühikirjeldus  </w:t>
      </w:r>
      <w:r w:rsidRPr="00557116">
        <w:t xml:space="preserve">Perioodil 2023-2030 rakendab PLP Euroopa Sotsiaalfond+ vahendeid vastavalt välja toodud </w:t>
      </w:r>
      <w:proofErr w:type="spellStart"/>
      <w:r w:rsidRPr="00557116">
        <w:t>eesmärkidele</w:t>
      </w:r>
      <w:proofErr w:type="spellEnd"/>
      <w:r w:rsidRPr="00557116">
        <w:t xml:space="preserve">: pikaajalise hoolduse teenuste </w:t>
      </w:r>
      <w:proofErr w:type="spellStart"/>
      <w:r w:rsidRPr="00557116">
        <w:t>kättesaadavuse</w:t>
      </w:r>
      <w:proofErr w:type="spellEnd"/>
      <w:r w:rsidRPr="00557116">
        <w:t xml:space="preserve"> ja kvaliteedi parandamine ning hoolduskoormuse leevendamine </w:t>
      </w:r>
      <w:proofErr w:type="spellStart"/>
      <w:r w:rsidRPr="00557116">
        <w:t>inimväärikuse</w:t>
      </w:r>
      <w:proofErr w:type="spellEnd"/>
      <w:r w:rsidRPr="00557116">
        <w:t xml:space="preserve"> tagamine ning sotsiaalse kaasatuse suurendamine. </w:t>
      </w:r>
    </w:p>
    <w:p w14:paraId="26D14A5B" w14:textId="77777777" w:rsidR="00FF3200" w:rsidRPr="00557116" w:rsidRDefault="00000000">
      <w:pPr>
        <w:spacing w:after="109"/>
        <w:ind w:left="730" w:right="0"/>
      </w:pPr>
      <w:r w:rsidRPr="00557116">
        <w:t xml:space="preserve">Meetme laiem </w:t>
      </w:r>
      <w:proofErr w:type="spellStart"/>
      <w:r w:rsidRPr="00557116">
        <w:t>eesmärk</w:t>
      </w:r>
      <w:proofErr w:type="spellEnd"/>
      <w:r w:rsidRPr="00557116">
        <w:t xml:space="preserve"> on piirkonna tuge vajavate sihtgruppide kaasamine, nende toimetuleku </w:t>
      </w:r>
      <w:proofErr w:type="spellStart"/>
      <w:r w:rsidRPr="00557116">
        <w:t>tõstmine</w:t>
      </w:r>
      <w:proofErr w:type="spellEnd"/>
      <w:r w:rsidRPr="00557116">
        <w:t xml:space="preserve"> ning neile </w:t>
      </w:r>
      <w:proofErr w:type="spellStart"/>
      <w:r w:rsidRPr="00557116">
        <w:t>tegevusvõimaluste</w:t>
      </w:r>
      <w:proofErr w:type="spellEnd"/>
      <w:r w:rsidRPr="00557116">
        <w:t xml:space="preserve"> loomine ja vastavas valdkonnas arengu ja </w:t>
      </w:r>
      <w:proofErr w:type="spellStart"/>
      <w:r w:rsidRPr="00557116">
        <w:t>võrgustumise</w:t>
      </w:r>
      <w:proofErr w:type="spellEnd"/>
      <w:r w:rsidRPr="00557116">
        <w:t xml:space="preserve"> toetamine. Soovitud tulemusena on meetme rakendamise toel kaasatud </w:t>
      </w:r>
      <w:proofErr w:type="spellStart"/>
      <w:r w:rsidRPr="00557116">
        <w:t>koostöötegevustesse</w:t>
      </w:r>
      <w:proofErr w:type="spellEnd"/>
      <w:r w:rsidRPr="00557116">
        <w:t xml:space="preserve"> arvestatav osa piirkonna tuge vajavatest inimestest.  </w:t>
      </w:r>
    </w:p>
    <w:p w14:paraId="26D14A5C" w14:textId="77777777" w:rsidR="00FF3200" w:rsidRPr="00557116" w:rsidRDefault="00000000">
      <w:pPr>
        <w:spacing w:after="109"/>
        <w:ind w:left="730" w:right="0"/>
      </w:pPr>
      <w:r w:rsidRPr="00557116">
        <w:t xml:space="preserve">Sotsiaalset toimetulekut mõjutab otseselt suhtelise vaesuse määr (protsent näitab isikute osakaalu, kelle ekvivalentnetosissetulek oli suhtelise vaesuse piirist madalam). Viimaste andmete (2020. a) järgi oli see vastavalt 20,6% Eestis ja 24,8% Pärnu maakonnas (joonis 9).  </w:t>
      </w:r>
    </w:p>
    <w:p w14:paraId="26D14A5D" w14:textId="77777777" w:rsidR="00FF3200" w:rsidRPr="00557116" w:rsidRDefault="00000000">
      <w:pPr>
        <w:spacing w:after="109"/>
        <w:ind w:left="730" w:right="0"/>
      </w:pPr>
      <w:r w:rsidRPr="00557116">
        <w:t xml:space="preserve">Erihoolekandeteenust saavatest isikutest PLP territooriumi kas täielikult või osaliselt hõlmavate </w:t>
      </w:r>
      <w:proofErr w:type="spellStart"/>
      <w:r w:rsidRPr="00557116">
        <w:t>KOVide</w:t>
      </w:r>
      <w:proofErr w:type="spellEnd"/>
      <w:r w:rsidRPr="00557116">
        <w:t xml:space="preserve"> lõikes annab ülevaate tabel 5, mille kohaselt on teenust saavate inimeste hulk umbes samas suurusjärgus järjekorras olevate inimeste arvuga. </w:t>
      </w:r>
    </w:p>
    <w:p w14:paraId="26D14A5E" w14:textId="77777777" w:rsidR="00FF3200" w:rsidRPr="00557116" w:rsidRDefault="00000000">
      <w:pPr>
        <w:spacing w:after="0"/>
        <w:ind w:left="730" w:right="0"/>
      </w:pPr>
      <w:r w:rsidRPr="00557116">
        <w:t xml:space="preserve">PLP tegevuspiirkond on </w:t>
      </w:r>
      <w:proofErr w:type="spellStart"/>
      <w:r w:rsidRPr="00557116">
        <w:t>hajaasustatud</w:t>
      </w:r>
      <w:proofErr w:type="spellEnd"/>
      <w:r w:rsidRPr="00557116">
        <w:t xml:space="preserve">, mis teeb sotsiaalteenuste kättesaadavuse keeruliseks. Pärnu maakonnas on puudega isikute arv 10,3% rahvastikust (tabel 4). Sellest tulenevalt on oluline ESF eesmärke silmas pidades märkida ära piirkonna erisused. Kavandatud tegevused peavad looma paremad tingimused ka väljaspool keskuseid. </w:t>
      </w:r>
      <w:proofErr w:type="spellStart"/>
      <w:r w:rsidRPr="00557116">
        <w:t>KOVides</w:t>
      </w:r>
      <w:proofErr w:type="spellEnd"/>
      <w:r w:rsidRPr="00557116">
        <w:t xml:space="preserve"> on korraldatud kohustuslikud sotsiaalteenused, mis on ette nähtud sihtgrupi toimetulekuraskuste vältimiseks. Antud meede aitab seda tegevust korraldada efektiivsemalt ning mitmekesisemalt. Parendamist vajab vähene lisategevuste arv, olgu selleks siis käsitööring, psühholoogiline nõustamine või omaste hooldajate suur koormus. Olulised teemad on märkamine, ennetamine ja seeläbi sotsiaalse tõrjutuse vähendamine.  </w:t>
      </w:r>
    </w:p>
    <w:p w14:paraId="26D14A5F" w14:textId="77777777" w:rsidR="00FF3200" w:rsidRPr="00557116" w:rsidRDefault="00000000">
      <w:pPr>
        <w:spacing w:after="8" w:line="259" w:lineRule="auto"/>
        <w:ind w:left="0" w:right="0" w:firstLine="0"/>
        <w:jc w:val="left"/>
      </w:pPr>
      <w:r w:rsidRPr="00557116">
        <w:t xml:space="preserve"> </w:t>
      </w:r>
    </w:p>
    <w:p w14:paraId="26D14A60" w14:textId="77777777" w:rsidR="00FF3200" w:rsidRPr="00557116" w:rsidRDefault="00000000">
      <w:pPr>
        <w:numPr>
          <w:ilvl w:val="0"/>
          <w:numId w:val="1"/>
        </w:numPr>
        <w:spacing w:after="24"/>
        <w:ind w:right="0" w:hanging="600"/>
      </w:pPr>
      <w:r w:rsidRPr="00557116">
        <w:rPr>
          <w:b/>
        </w:rPr>
        <w:t xml:space="preserve">Strateegia meetme eesmärk </w:t>
      </w:r>
      <w:r w:rsidRPr="00557116">
        <w:t xml:space="preserve">  </w:t>
      </w:r>
      <w:r w:rsidRPr="00557116">
        <w:tab/>
        <w:t xml:space="preserve"> </w:t>
      </w:r>
    </w:p>
    <w:p w14:paraId="26D14A61" w14:textId="77777777" w:rsidR="00FF3200" w:rsidRPr="00557116" w:rsidRDefault="00000000">
      <w:pPr>
        <w:spacing w:after="0"/>
        <w:ind w:left="730" w:right="0"/>
      </w:pPr>
      <w:r w:rsidRPr="00557116">
        <w:lastRenderedPageBreak/>
        <w:t xml:space="preserve">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 Valdkonda eesmärk vastab ühtekuuluvuspoliitika rakenduskava eesmärgile. </w:t>
      </w:r>
    </w:p>
    <w:p w14:paraId="26D14A62" w14:textId="77777777" w:rsidR="00FF3200" w:rsidRPr="00557116" w:rsidRDefault="00000000">
      <w:pPr>
        <w:spacing w:after="0" w:line="259" w:lineRule="auto"/>
        <w:ind w:left="720" w:right="0" w:firstLine="0"/>
        <w:jc w:val="left"/>
      </w:pPr>
      <w:r w:rsidRPr="00557116">
        <w:t xml:space="preserve"> </w:t>
      </w:r>
    </w:p>
    <w:p w14:paraId="26D14A63" w14:textId="6AF6DAF1" w:rsidR="00FF3200" w:rsidRPr="00557116" w:rsidRDefault="00000000" w:rsidP="00513A0C">
      <w:pPr>
        <w:pStyle w:val="Loendilik"/>
        <w:numPr>
          <w:ilvl w:val="1"/>
          <w:numId w:val="1"/>
        </w:numPr>
        <w:ind w:left="611" w:right="0"/>
      </w:pPr>
      <w:r w:rsidRPr="00557116">
        <w:t xml:space="preserve">Spetsiifilised eesmärgid on: </w:t>
      </w:r>
    </w:p>
    <w:p w14:paraId="26D14A64" w14:textId="77777777" w:rsidR="00FF3200" w:rsidRPr="00557116" w:rsidRDefault="00000000" w:rsidP="00513A0C">
      <w:pPr>
        <w:numPr>
          <w:ilvl w:val="2"/>
          <w:numId w:val="1"/>
        </w:numPr>
        <w:ind w:right="0" w:hanging="840"/>
      </w:pPr>
      <w:r w:rsidRPr="00557116">
        <w:t xml:space="preserve">Pikaajalise hoolduse teenuste kättesaadavuse ja kvaliteedi parandamine ning hoolduskoormuse leevendamine; </w:t>
      </w:r>
    </w:p>
    <w:p w14:paraId="26D14A65" w14:textId="77777777" w:rsidR="00FF3200" w:rsidRPr="00557116" w:rsidRDefault="00000000" w:rsidP="00513A0C">
      <w:pPr>
        <w:numPr>
          <w:ilvl w:val="2"/>
          <w:numId w:val="1"/>
        </w:numPr>
        <w:spacing w:after="0" w:line="259" w:lineRule="auto"/>
        <w:ind w:right="0" w:hanging="840"/>
      </w:pPr>
      <w:proofErr w:type="spellStart"/>
      <w:r w:rsidRPr="00557116">
        <w:t>Inimväärikuse</w:t>
      </w:r>
      <w:proofErr w:type="spellEnd"/>
      <w:r w:rsidRPr="00557116">
        <w:t xml:space="preserve"> tagamine ning sotsiaalse kaasatuse suurendamine. </w:t>
      </w:r>
    </w:p>
    <w:p w14:paraId="26D14A66" w14:textId="77777777" w:rsidR="00FF3200" w:rsidRPr="00557116" w:rsidRDefault="00000000">
      <w:pPr>
        <w:spacing w:after="11" w:line="259" w:lineRule="auto"/>
        <w:ind w:left="1440" w:right="0" w:firstLine="0"/>
        <w:jc w:val="left"/>
      </w:pPr>
      <w:r w:rsidRPr="00557116">
        <w:t xml:space="preserve"> </w:t>
      </w:r>
    </w:p>
    <w:p w14:paraId="26D14A67" w14:textId="77777777" w:rsidR="00FF3200" w:rsidRPr="00557116" w:rsidRDefault="00000000">
      <w:pPr>
        <w:numPr>
          <w:ilvl w:val="0"/>
          <w:numId w:val="1"/>
        </w:numPr>
        <w:spacing w:after="24"/>
        <w:ind w:right="0" w:hanging="600"/>
      </w:pPr>
      <w:r w:rsidRPr="00557116">
        <w:rPr>
          <w:b/>
        </w:rPr>
        <w:t xml:space="preserve">Toetatavad tegevused </w:t>
      </w:r>
      <w:r w:rsidRPr="00557116">
        <w:t xml:space="preserve"> </w:t>
      </w:r>
    </w:p>
    <w:p w14:paraId="571EB735" w14:textId="79C84711" w:rsidR="00ED607F" w:rsidRPr="00557116" w:rsidRDefault="00ED607F" w:rsidP="00ED607F">
      <w:pPr>
        <w:numPr>
          <w:ilvl w:val="1"/>
          <w:numId w:val="1"/>
        </w:numPr>
        <w:ind w:right="0" w:hanging="840"/>
      </w:pPr>
      <w:r w:rsidRPr="00557116">
        <w:t>Toetatavad tegevused:</w:t>
      </w:r>
    </w:p>
    <w:p w14:paraId="74DBC951" w14:textId="03900BFD" w:rsidR="00ED607F" w:rsidRPr="00557116" w:rsidRDefault="00C36C2D" w:rsidP="00ED607F">
      <w:pPr>
        <w:numPr>
          <w:ilvl w:val="2"/>
          <w:numId w:val="1"/>
        </w:numPr>
        <w:ind w:left="1906" w:right="0" w:hanging="840"/>
      </w:pPr>
      <w:r w:rsidRPr="00557116">
        <w:t>Toetatakse tegevusi, mis on vajalikud meetme eesmärgi saavutamiseks sh koostöö rakendamine ja ettevalmistamine.</w:t>
      </w:r>
    </w:p>
    <w:p w14:paraId="58CDB618" w14:textId="0749457A" w:rsidR="00C36C2D" w:rsidRPr="00557116" w:rsidRDefault="00C36C2D" w:rsidP="00ED607F">
      <w:pPr>
        <w:numPr>
          <w:ilvl w:val="2"/>
          <w:numId w:val="1"/>
        </w:numPr>
        <w:ind w:left="1906" w:right="0" w:hanging="840"/>
      </w:pPr>
      <w:r w:rsidRPr="00557116">
        <w:t>Koostöötegevuse korral võib toetatava tegevuse asukoht jääda väljapoole Eestit, piirdudes Euroopa Liidu ja Euroopa Majanduspiirkonnaga.</w:t>
      </w:r>
    </w:p>
    <w:p w14:paraId="37EDA7E3" w14:textId="1D4E4D99" w:rsidR="00C46999" w:rsidRPr="00557116" w:rsidRDefault="00C46999" w:rsidP="00C46999">
      <w:pPr>
        <w:pStyle w:val="Loendilik"/>
        <w:numPr>
          <w:ilvl w:val="1"/>
          <w:numId w:val="1"/>
        </w:numPr>
        <w:ind w:left="611" w:right="0"/>
      </w:pPr>
      <w:r w:rsidRPr="00557116">
        <w:t>Abikõlblikud ei ole maa, kinnisvara ja taristu ostmise kulud.</w:t>
      </w:r>
    </w:p>
    <w:p w14:paraId="26D14A68" w14:textId="6EC1609C" w:rsidR="00FF3200" w:rsidRPr="00557116" w:rsidRDefault="00ED607F">
      <w:pPr>
        <w:numPr>
          <w:ilvl w:val="1"/>
          <w:numId w:val="1"/>
        </w:numPr>
        <w:ind w:right="0" w:hanging="840"/>
      </w:pPr>
      <w:r w:rsidRPr="00557116">
        <w:t>Abikõlblikud kulud</w:t>
      </w:r>
      <w:r w:rsidR="002E1179" w:rsidRPr="00557116">
        <w:t xml:space="preserve"> on</w:t>
      </w:r>
      <w:r w:rsidRPr="00557116">
        <w:t xml:space="preserve">: </w:t>
      </w:r>
    </w:p>
    <w:p w14:paraId="26D14A69" w14:textId="3273FF7F" w:rsidR="00FF3200" w:rsidRPr="00557116" w:rsidRDefault="002E1179">
      <w:pPr>
        <w:numPr>
          <w:ilvl w:val="2"/>
          <w:numId w:val="1"/>
        </w:numPr>
        <w:ind w:right="0" w:hanging="1080"/>
      </w:pPr>
      <w:r w:rsidRPr="00557116">
        <w:t xml:space="preserve">Projektijuhi töötasu, va palgale lisaks makstav toetus või lisahüve, mis ei ole käsitatav palgana seaduse tähenduses; </w:t>
      </w:r>
    </w:p>
    <w:p w14:paraId="26D14A6A" w14:textId="323B5FBA" w:rsidR="00FF3200" w:rsidRPr="00557116" w:rsidRDefault="002E1179">
      <w:pPr>
        <w:numPr>
          <w:ilvl w:val="2"/>
          <w:numId w:val="1"/>
        </w:numPr>
        <w:spacing w:after="59"/>
        <w:ind w:right="0" w:hanging="1080"/>
      </w:pPr>
      <w:r w:rsidRPr="00557116">
        <w:t xml:space="preserve">Koolituse, seminari, teabepäeva ja muu samalaadse ürituse korraldamise kulud; </w:t>
      </w:r>
    </w:p>
    <w:p w14:paraId="26D14A6B" w14:textId="0FA5E4B5" w:rsidR="00FF3200" w:rsidRPr="00557116" w:rsidRDefault="002E1179">
      <w:pPr>
        <w:numPr>
          <w:ilvl w:val="2"/>
          <w:numId w:val="1"/>
        </w:numPr>
        <w:spacing w:after="72"/>
        <w:ind w:right="0" w:hanging="1080"/>
      </w:pPr>
      <w:r w:rsidRPr="00557116">
        <w:t xml:space="preserve">Asjakohased sõidukulud; </w:t>
      </w:r>
    </w:p>
    <w:p w14:paraId="26D14A6C" w14:textId="43647239" w:rsidR="00FF3200" w:rsidRPr="00557116" w:rsidRDefault="002E1179">
      <w:pPr>
        <w:numPr>
          <w:ilvl w:val="2"/>
          <w:numId w:val="1"/>
        </w:numPr>
        <w:spacing w:after="72"/>
        <w:ind w:right="0" w:hanging="1080"/>
      </w:pPr>
      <w:r w:rsidRPr="00557116">
        <w:t xml:space="preserve">Uuringu tellimise ja läbiviimise kulud; </w:t>
      </w:r>
    </w:p>
    <w:p w14:paraId="26D14A6D" w14:textId="3DE0ACE1" w:rsidR="00FF3200" w:rsidRPr="00557116" w:rsidRDefault="002E1179">
      <w:pPr>
        <w:numPr>
          <w:ilvl w:val="2"/>
          <w:numId w:val="1"/>
        </w:numPr>
        <w:spacing w:after="70"/>
        <w:ind w:right="0" w:hanging="1080"/>
      </w:pPr>
      <w:r w:rsidRPr="00557116">
        <w:t xml:space="preserve">Eksperdihinnangu tellimise kulud; </w:t>
      </w:r>
    </w:p>
    <w:p w14:paraId="26D14A6E" w14:textId="2A9553DB" w:rsidR="00FF3200" w:rsidRPr="00557116" w:rsidRDefault="002E1179">
      <w:pPr>
        <w:numPr>
          <w:ilvl w:val="2"/>
          <w:numId w:val="1"/>
        </w:numPr>
        <w:spacing w:after="72"/>
        <w:ind w:right="0" w:hanging="1080"/>
      </w:pPr>
      <w:r w:rsidRPr="00557116">
        <w:t xml:space="preserve">Teabematerjali koostamise ja väljaandmise kulud; </w:t>
      </w:r>
    </w:p>
    <w:p w14:paraId="26D14A6F" w14:textId="5B41743F" w:rsidR="00FF3200" w:rsidRPr="00557116" w:rsidRDefault="002E1179">
      <w:pPr>
        <w:numPr>
          <w:ilvl w:val="2"/>
          <w:numId w:val="1"/>
        </w:numPr>
        <w:spacing w:after="73"/>
        <w:ind w:right="0" w:hanging="1080"/>
      </w:pPr>
      <w:r w:rsidRPr="00557116">
        <w:t xml:space="preserve">Veebilehe loomise, haldamise ja arendamise kulud; </w:t>
      </w:r>
    </w:p>
    <w:p w14:paraId="0F8BE7D6" w14:textId="45936F43" w:rsidR="00ED607F" w:rsidRPr="00557116" w:rsidRDefault="002E1179">
      <w:pPr>
        <w:numPr>
          <w:ilvl w:val="2"/>
          <w:numId w:val="1"/>
        </w:numPr>
        <w:spacing w:line="285" w:lineRule="auto"/>
        <w:ind w:right="0" w:hanging="1080"/>
      </w:pPr>
      <w:r w:rsidRPr="00557116">
        <w:t xml:space="preserve">Riigisisesel ja välisriigis toimuval seminaril, konverentsil, messil </w:t>
      </w:r>
      <w:r w:rsidRPr="00557116">
        <w:tab/>
        <w:t xml:space="preserve">või </w:t>
      </w:r>
      <w:r w:rsidRPr="00557116">
        <w:tab/>
        <w:t xml:space="preserve">õppereisil </w:t>
      </w:r>
      <w:r w:rsidRPr="00557116">
        <w:tab/>
        <w:t xml:space="preserve">osalemise </w:t>
      </w:r>
      <w:r w:rsidRPr="00557116">
        <w:tab/>
        <w:t>kulud,</w:t>
      </w:r>
      <w:r w:rsidR="00C36C2D" w:rsidRPr="00557116">
        <w:t xml:space="preserve"> </w:t>
      </w:r>
      <w:r w:rsidRPr="00557116">
        <w:t xml:space="preserve">sealhulgas osavõtutasu ning riigisisese lähetuse ja välislähetuse kulud; </w:t>
      </w:r>
    </w:p>
    <w:p w14:paraId="26D14A70" w14:textId="66764BEB" w:rsidR="00FF3200" w:rsidRPr="00557116" w:rsidRDefault="00ED607F">
      <w:pPr>
        <w:numPr>
          <w:ilvl w:val="2"/>
          <w:numId w:val="1"/>
        </w:numPr>
        <w:spacing w:line="285" w:lineRule="auto"/>
        <w:ind w:right="0" w:hanging="1080"/>
      </w:pPr>
      <w:r w:rsidRPr="00557116">
        <w:t xml:space="preserve">ESF+ sümboolika kulud; </w:t>
      </w:r>
    </w:p>
    <w:p w14:paraId="26D14A71" w14:textId="20EC48AA" w:rsidR="00FF3200" w:rsidRPr="00557116" w:rsidRDefault="002E1179">
      <w:pPr>
        <w:numPr>
          <w:ilvl w:val="2"/>
          <w:numId w:val="2"/>
        </w:numPr>
        <w:spacing w:after="58"/>
        <w:ind w:right="-6" w:hanging="1231"/>
        <w:jc w:val="left"/>
      </w:pPr>
      <w:r w:rsidRPr="00557116">
        <w:lastRenderedPageBreak/>
        <w:t xml:space="preserve">Ligipääsetavuse parandamise kulud, sh viipekeele tõlge või kirjutustõlge kuulmispuudega inimestele. </w:t>
      </w:r>
    </w:p>
    <w:p w14:paraId="26D14A72" w14:textId="272BDB01" w:rsidR="00FF3200" w:rsidRPr="00557116" w:rsidRDefault="002E1179">
      <w:pPr>
        <w:numPr>
          <w:ilvl w:val="2"/>
          <w:numId w:val="2"/>
        </w:numPr>
        <w:spacing w:line="285" w:lineRule="auto"/>
        <w:ind w:right="-6" w:hanging="1231"/>
        <w:jc w:val="left"/>
      </w:pPr>
      <w:r w:rsidRPr="00557116">
        <w:t>Tegevuskulud, sealhulgas kulud bürootarvetele, sidekulud, infotehnoloogia, sealhulgas kontoritehnika hooldus- ja paranduskulud, kommunaalkulud, kontoriruumi rentimise kulud, teenustasu pangatoimingute eest, kulud</w:t>
      </w:r>
      <w:r w:rsidR="00C36C2D" w:rsidRPr="00557116">
        <w:t xml:space="preserve"> </w:t>
      </w:r>
      <w:r w:rsidRPr="00557116">
        <w:t>valveteenusele, audiitoritasu, õigusabi kulud ning</w:t>
      </w:r>
      <w:r w:rsidR="00C36C2D" w:rsidRPr="00557116">
        <w:t xml:space="preserve"> </w:t>
      </w:r>
      <w:r w:rsidRPr="00557116">
        <w:t xml:space="preserve">maamaks: </w:t>
      </w:r>
    </w:p>
    <w:p w14:paraId="26D14A74" w14:textId="77777777" w:rsidR="00FF3200" w:rsidRPr="00557116" w:rsidRDefault="00000000">
      <w:pPr>
        <w:numPr>
          <w:ilvl w:val="2"/>
          <w:numId w:val="1"/>
        </w:numPr>
        <w:spacing w:after="72"/>
        <w:ind w:right="0" w:hanging="1080"/>
      </w:pPr>
      <w:r w:rsidRPr="00557116">
        <w:t>ehitise parendamise kulud</w:t>
      </w:r>
      <w:r w:rsidRPr="00557116">
        <w:rPr>
          <w:sz w:val="22"/>
        </w:rPr>
        <w:t>;</w:t>
      </w:r>
      <w:r w:rsidRPr="00557116">
        <w:t xml:space="preserve"> </w:t>
      </w:r>
    </w:p>
    <w:p w14:paraId="26D14A75" w14:textId="77777777" w:rsidR="00FF3200" w:rsidRPr="00557116" w:rsidRDefault="00000000">
      <w:pPr>
        <w:numPr>
          <w:ilvl w:val="2"/>
          <w:numId w:val="1"/>
        </w:numPr>
        <w:spacing w:after="61"/>
        <w:ind w:right="0" w:hanging="1080"/>
      </w:pPr>
      <w:r w:rsidRPr="00557116">
        <w:t xml:space="preserve">masina, seadme, sisseseade või muu põhivara ostmise, liisimise ja paigaldamise kulud; </w:t>
      </w:r>
    </w:p>
    <w:p w14:paraId="26D14A76" w14:textId="77777777" w:rsidR="00FF3200" w:rsidRPr="00557116" w:rsidRDefault="00000000">
      <w:pPr>
        <w:numPr>
          <w:ilvl w:val="2"/>
          <w:numId w:val="1"/>
        </w:numPr>
        <w:ind w:right="0" w:hanging="1080"/>
      </w:pPr>
      <w:r w:rsidRPr="00557116">
        <w:t xml:space="preserve">ligipääsetavust parandavad kulud sh kaldteed jms. </w:t>
      </w:r>
    </w:p>
    <w:p w14:paraId="26D14A77" w14:textId="6015E393" w:rsidR="00FF3200" w:rsidRPr="00557116" w:rsidRDefault="00FF3200">
      <w:pPr>
        <w:spacing w:after="51" w:line="259" w:lineRule="auto"/>
        <w:ind w:left="2160" w:right="0" w:firstLine="0"/>
        <w:jc w:val="left"/>
      </w:pPr>
    </w:p>
    <w:p w14:paraId="26D14A78" w14:textId="77777777" w:rsidR="00FF3200" w:rsidRPr="00557116" w:rsidRDefault="00000000">
      <w:pPr>
        <w:numPr>
          <w:ilvl w:val="0"/>
          <w:numId w:val="1"/>
        </w:numPr>
        <w:spacing w:after="24"/>
        <w:ind w:right="0" w:hanging="600"/>
      </w:pPr>
      <w:r w:rsidRPr="00557116">
        <w:rPr>
          <w:b/>
        </w:rPr>
        <w:t>Strateegia meetme sihtrühm</w:t>
      </w:r>
      <w:r w:rsidRPr="00557116">
        <w:t xml:space="preserve"> </w:t>
      </w:r>
    </w:p>
    <w:p w14:paraId="44EADC72" w14:textId="28A1A798" w:rsidR="00F91CFE" w:rsidRPr="00557116" w:rsidRDefault="00000000">
      <w:pPr>
        <w:numPr>
          <w:ilvl w:val="1"/>
          <w:numId w:val="1"/>
        </w:numPr>
        <w:ind w:right="0" w:hanging="840"/>
      </w:pPr>
      <w:r w:rsidRPr="00557116">
        <w:t>Sihtrühmaks (lõppsaajaks) on kohaliku tegevusrühma piirkonna</w:t>
      </w:r>
      <w:r w:rsidR="00513A0C" w:rsidRPr="00557116">
        <w:t>:</w:t>
      </w:r>
    </w:p>
    <w:p w14:paraId="26D14A79" w14:textId="41B59CAE" w:rsidR="00FF3200" w:rsidRPr="00557116" w:rsidRDefault="00513A0C" w:rsidP="00F91CFE">
      <w:pPr>
        <w:numPr>
          <w:ilvl w:val="2"/>
          <w:numId w:val="1"/>
        </w:numPr>
        <w:ind w:right="0" w:hanging="840"/>
      </w:pPr>
      <w:r w:rsidRPr="00557116">
        <w:t>E</w:t>
      </w:r>
      <w:r w:rsidR="00F91CFE" w:rsidRPr="00557116">
        <w:t>rivajadusega inimesed</w:t>
      </w:r>
      <w:r w:rsidR="00F91CFE" w:rsidRPr="00557116">
        <w:rPr>
          <w:vertAlign w:val="superscript"/>
        </w:rPr>
        <w:t xml:space="preserve"> </w:t>
      </w:r>
      <w:r w:rsidR="00F91CFE" w:rsidRPr="00557116">
        <w:t>alates vanusest 16 eluaastat</w:t>
      </w:r>
      <w:r w:rsidR="00250074" w:rsidRPr="00557116">
        <w:t>. Erivajadusega inimese all mõistetakse inimest, kellel on füüsiline või psüühiline kõrvalekalle, mille tõttu ta vajab kõrval</w:t>
      </w:r>
      <w:r w:rsidR="00253A6F" w:rsidRPr="00557116">
        <w:t xml:space="preserve">ist </w:t>
      </w:r>
      <w:r w:rsidR="00250074" w:rsidRPr="00557116">
        <w:t>abi</w:t>
      </w:r>
      <w:r w:rsidR="00F91CFE" w:rsidRPr="00557116">
        <w:t xml:space="preserve">; </w:t>
      </w:r>
    </w:p>
    <w:p w14:paraId="78EC32C7" w14:textId="3559D72F" w:rsidR="00F91CFE" w:rsidRPr="00557116" w:rsidRDefault="00513A0C" w:rsidP="00F91CFE">
      <w:pPr>
        <w:numPr>
          <w:ilvl w:val="2"/>
          <w:numId w:val="1"/>
        </w:numPr>
        <w:ind w:right="0" w:hanging="840"/>
      </w:pPr>
      <w:r w:rsidRPr="00557116">
        <w:t>V</w:t>
      </w:r>
      <w:r w:rsidR="00F91CFE" w:rsidRPr="00557116">
        <w:t>anemaealised inimesed alates vanusest 55 eluaastast.</w:t>
      </w:r>
    </w:p>
    <w:p w14:paraId="34771111" w14:textId="77777777" w:rsidR="00F91CFE" w:rsidRPr="00557116" w:rsidRDefault="00F91CFE" w:rsidP="00F91CFE">
      <w:pPr>
        <w:ind w:left="600" w:right="0" w:firstLine="0"/>
      </w:pPr>
    </w:p>
    <w:p w14:paraId="26D14A7A" w14:textId="77777777" w:rsidR="00FF3200" w:rsidRPr="00557116" w:rsidRDefault="00000000">
      <w:pPr>
        <w:spacing w:after="11" w:line="259" w:lineRule="auto"/>
        <w:ind w:left="0" w:right="0" w:firstLine="0"/>
        <w:jc w:val="left"/>
      </w:pPr>
      <w:r w:rsidRPr="00557116">
        <w:rPr>
          <w:b/>
        </w:rPr>
        <w:t xml:space="preserve"> </w:t>
      </w:r>
    </w:p>
    <w:p w14:paraId="26D14A7B" w14:textId="29C94189" w:rsidR="00FF3200" w:rsidRPr="00557116" w:rsidRDefault="00000000">
      <w:pPr>
        <w:numPr>
          <w:ilvl w:val="0"/>
          <w:numId w:val="1"/>
        </w:numPr>
        <w:spacing w:after="24"/>
        <w:ind w:right="0" w:hanging="600"/>
      </w:pPr>
      <w:r w:rsidRPr="00557116">
        <w:rPr>
          <w:b/>
        </w:rPr>
        <w:t xml:space="preserve">Nõuded projektitoetuse taotlejale ja toetuse saajale (sh dokumendid, mida peab </w:t>
      </w:r>
      <w:r w:rsidR="009746DA" w:rsidRPr="00557116">
        <w:rPr>
          <w:b/>
        </w:rPr>
        <w:t>miniprojekti</w:t>
      </w:r>
      <w:r w:rsidRPr="00557116">
        <w:rPr>
          <w:b/>
        </w:rPr>
        <w:t xml:space="preserve"> taotleja esitama taotluse esitamisel) </w:t>
      </w:r>
      <w:r w:rsidRPr="00557116">
        <w:t xml:space="preserve"> </w:t>
      </w:r>
    </w:p>
    <w:p w14:paraId="26D14A7C" w14:textId="58934009" w:rsidR="00FF3200" w:rsidRPr="00557116" w:rsidRDefault="00000000">
      <w:pPr>
        <w:numPr>
          <w:ilvl w:val="1"/>
          <w:numId w:val="1"/>
        </w:numPr>
        <w:spacing w:after="58"/>
        <w:ind w:right="0" w:hanging="840"/>
      </w:pPr>
      <w:r w:rsidRPr="00557116">
        <w:t>Tegevusi saavad ellu viia MTÜd (sh kohalik tegevusrühm ise), sihtasutused, ettevõtjad ning kohalikud omavalitsused</w:t>
      </w:r>
      <w:r w:rsidR="004D401F" w:rsidRPr="00557116">
        <w:t>;</w:t>
      </w:r>
      <w:r w:rsidRPr="00557116">
        <w:t xml:space="preserve"> </w:t>
      </w:r>
    </w:p>
    <w:p w14:paraId="56306F90" w14:textId="600845C9" w:rsidR="004D401F" w:rsidRPr="00557116" w:rsidRDefault="004D401F">
      <w:pPr>
        <w:numPr>
          <w:ilvl w:val="1"/>
          <w:numId w:val="1"/>
        </w:numPr>
        <w:spacing w:after="58"/>
        <w:ind w:right="0" w:hanging="840"/>
      </w:pPr>
      <w:r w:rsidRPr="00557116">
        <w:t>Tegevusi, mida viiakse ellu sotsiaalhoolekande seaduse 2. ja 3. peatüki, tööturumeetmete seaduse § 13 või tervishoiuteenuste korraldamise seaduse § 2 alusel, ei toetata, välja arvatud juhul, kui tegevused loovad juba olemasolevatele teenustele lisandväärtust.</w:t>
      </w:r>
    </w:p>
    <w:p w14:paraId="234E6777" w14:textId="3DCF2A06" w:rsidR="00C568D4" w:rsidRPr="00557116" w:rsidRDefault="00C568D4">
      <w:pPr>
        <w:numPr>
          <w:ilvl w:val="1"/>
          <w:numId w:val="1"/>
        </w:numPr>
        <w:spacing w:after="58"/>
        <w:ind w:right="0" w:hanging="840"/>
      </w:pPr>
      <w:r w:rsidRPr="00557116">
        <w:t>Taotleja peab kasutama toetuse eraldamise korral toetuse tegevuste elluviimise juures  ESF+ logo</w:t>
      </w:r>
    </w:p>
    <w:p w14:paraId="26D14A86" w14:textId="24DCFEC0" w:rsidR="00FF3200" w:rsidRPr="00557116" w:rsidRDefault="009746DA">
      <w:pPr>
        <w:numPr>
          <w:ilvl w:val="0"/>
          <w:numId w:val="1"/>
        </w:numPr>
        <w:spacing w:after="24"/>
        <w:ind w:right="0" w:hanging="600"/>
      </w:pPr>
      <w:r w:rsidRPr="00557116">
        <w:rPr>
          <w:b/>
        </w:rPr>
        <w:t xml:space="preserve">Miniprojekti taotluste hindamiskriteeriumid </w:t>
      </w:r>
      <w:r w:rsidRPr="00557116">
        <w:t xml:space="preserve"> </w:t>
      </w:r>
    </w:p>
    <w:p w14:paraId="26D14A87" w14:textId="593CA85A" w:rsidR="00FF3200" w:rsidRPr="00557116" w:rsidRDefault="00000000">
      <w:pPr>
        <w:numPr>
          <w:ilvl w:val="1"/>
          <w:numId w:val="1"/>
        </w:numPr>
        <w:ind w:right="0" w:hanging="840"/>
      </w:pPr>
      <w:r w:rsidRPr="00557116">
        <w:rPr>
          <w:u w:val="single" w:color="000000"/>
        </w:rPr>
        <w:t>Vastavus PLP strateegiale, meetme eesmärkidele ja</w:t>
      </w:r>
      <w:r w:rsidRPr="00557116">
        <w:t xml:space="preserve"> </w:t>
      </w:r>
      <w:r w:rsidRPr="00557116">
        <w:rPr>
          <w:u w:val="single" w:color="000000"/>
        </w:rPr>
        <w:t>rakenduskavale - osakaal 35%</w:t>
      </w:r>
      <w:r w:rsidRPr="00557116">
        <w:t xml:space="preserve">:  </w:t>
      </w:r>
      <w:r w:rsidR="009746DA" w:rsidRPr="00557116">
        <w:t>Miniprojekti</w:t>
      </w:r>
      <w:r w:rsidRPr="00557116">
        <w:t xml:space="preserve"> toetatavad </w:t>
      </w:r>
      <w:r w:rsidRPr="00557116">
        <w:lastRenderedPageBreak/>
        <w:t xml:space="preserve">tegevused vastavad/vastavad osaliselt/ei vasta PLP strateegiale, meetme eesmärkidele ja rakenduskavale.  </w:t>
      </w:r>
    </w:p>
    <w:p w14:paraId="26D14A88" w14:textId="77777777" w:rsidR="00FF3200" w:rsidRPr="00557116" w:rsidRDefault="00000000">
      <w:pPr>
        <w:numPr>
          <w:ilvl w:val="1"/>
          <w:numId w:val="1"/>
        </w:numPr>
        <w:ind w:right="0" w:hanging="840"/>
      </w:pPr>
      <w:r w:rsidRPr="00557116">
        <w:rPr>
          <w:u w:val="single" w:color="000000"/>
        </w:rPr>
        <w:t>Tegevuste põhjendatus - osakaal 20%</w:t>
      </w:r>
      <w:r w:rsidRPr="00557116">
        <w:t xml:space="preserve">: Luuakse või arendatakse uusi asjakohastele sihtrühmadele suunatud teenuseid. Piirkonnas on kirjeldatud teenuste järele olemas selge vajadus ja potentsiaalsed teenuse tarbijad. </w:t>
      </w:r>
    </w:p>
    <w:p w14:paraId="26D14A89" w14:textId="496BE76F" w:rsidR="00FF3200" w:rsidRPr="00557116" w:rsidRDefault="00000000">
      <w:pPr>
        <w:numPr>
          <w:ilvl w:val="1"/>
          <w:numId w:val="1"/>
        </w:numPr>
        <w:ind w:right="0" w:hanging="840"/>
      </w:pPr>
      <w:r w:rsidRPr="00557116">
        <w:rPr>
          <w:u w:val="single" w:color="000000"/>
        </w:rPr>
        <w:t>Realistlikkus - osakaal 15%</w:t>
      </w:r>
      <w:r w:rsidRPr="00557116">
        <w:t xml:space="preserve">: </w:t>
      </w:r>
      <w:r w:rsidR="009746DA" w:rsidRPr="00557116">
        <w:t>Miniprojekt</w:t>
      </w:r>
      <w:r w:rsidRPr="00557116">
        <w:t xml:space="preserve"> on korrektselt ette valmistatud. </w:t>
      </w:r>
      <w:r w:rsidR="009746DA" w:rsidRPr="00557116">
        <w:t>Miniprojekti</w:t>
      </w:r>
      <w:r w:rsidRPr="00557116">
        <w:t xml:space="preserve"> idee on realistlik. Taotleja on kompetentne projekti rakendama või on kaasanud vastavad partnerid. Projekti rakendamise ajakava on realistlik. </w:t>
      </w:r>
    </w:p>
    <w:p w14:paraId="26D14A8A" w14:textId="6D1B64D6" w:rsidR="00FF3200" w:rsidRPr="00557116" w:rsidRDefault="00000000">
      <w:pPr>
        <w:numPr>
          <w:ilvl w:val="1"/>
          <w:numId w:val="1"/>
        </w:numPr>
        <w:ind w:right="0" w:hanging="840"/>
      </w:pPr>
      <w:r w:rsidRPr="00557116">
        <w:rPr>
          <w:u w:val="single" w:color="000000"/>
        </w:rPr>
        <w:t>Mõju piirkonnale - osakaal 15%</w:t>
      </w:r>
      <w:r w:rsidRPr="00557116">
        <w:t xml:space="preserve">: </w:t>
      </w:r>
      <w:r w:rsidR="009746DA" w:rsidRPr="00557116">
        <w:t>Miniprojekti</w:t>
      </w:r>
      <w:r w:rsidRPr="00557116">
        <w:t xml:space="preserve"> tulemusena paraneb sihtrühma kaasatus, vaimne tervis ja heaolu. </w:t>
      </w:r>
    </w:p>
    <w:p w14:paraId="26D14A8B" w14:textId="77777777" w:rsidR="00FF3200" w:rsidRPr="00557116" w:rsidRDefault="00000000">
      <w:pPr>
        <w:numPr>
          <w:ilvl w:val="1"/>
          <w:numId w:val="1"/>
        </w:numPr>
        <w:spacing w:after="16" w:line="259" w:lineRule="auto"/>
        <w:ind w:right="0" w:hanging="840"/>
      </w:pPr>
      <w:r w:rsidRPr="00557116">
        <w:rPr>
          <w:u w:val="single" w:color="000000"/>
        </w:rPr>
        <w:t>Uuenduslikkus - osakaal 15%:</w:t>
      </w:r>
      <w:r w:rsidRPr="00557116">
        <w:t xml:space="preserve">  </w:t>
      </w:r>
    </w:p>
    <w:p w14:paraId="26D14A8C" w14:textId="77777777" w:rsidR="00FF3200" w:rsidRPr="00557116" w:rsidRDefault="00000000">
      <w:pPr>
        <w:numPr>
          <w:ilvl w:val="2"/>
          <w:numId w:val="1"/>
        </w:numPr>
        <w:ind w:right="0" w:hanging="1080"/>
      </w:pPr>
      <w:r w:rsidRPr="00557116">
        <w:t xml:space="preserve">Uuenduslik tegevus lisandub tegevuspiirkonna tasandil;  </w:t>
      </w:r>
    </w:p>
    <w:p w14:paraId="5F11C76E" w14:textId="77777777" w:rsidR="002E1179" w:rsidRPr="00557116" w:rsidRDefault="00000000">
      <w:pPr>
        <w:numPr>
          <w:ilvl w:val="2"/>
          <w:numId w:val="1"/>
        </w:numPr>
        <w:ind w:right="0" w:hanging="1080"/>
      </w:pPr>
      <w:r w:rsidRPr="00557116">
        <w:t xml:space="preserve">Uuenduslik tegevus lisandub KOV tasandil; </w:t>
      </w:r>
    </w:p>
    <w:p w14:paraId="26D14A8D" w14:textId="0FC713B1" w:rsidR="00FF3200" w:rsidRPr="00557116" w:rsidRDefault="00000000">
      <w:pPr>
        <w:numPr>
          <w:ilvl w:val="2"/>
          <w:numId w:val="1"/>
        </w:numPr>
        <w:ind w:right="0" w:hanging="1080"/>
      </w:pPr>
      <w:r w:rsidRPr="00557116">
        <w:t xml:space="preserve">Uuenduslik tegevus lisandub taotleja tasandil; </w:t>
      </w:r>
    </w:p>
    <w:p w14:paraId="26D14A8E" w14:textId="77777777" w:rsidR="00FF3200" w:rsidRPr="00557116" w:rsidRDefault="00000000">
      <w:pPr>
        <w:tabs>
          <w:tab w:val="center" w:pos="1440"/>
          <w:tab w:val="center" w:pos="4190"/>
        </w:tabs>
        <w:ind w:left="0" w:right="0" w:firstLine="0"/>
        <w:jc w:val="left"/>
      </w:pPr>
      <w:r w:rsidRPr="00557116">
        <w:rPr>
          <w:rFonts w:ascii="Calibri" w:eastAsia="Calibri" w:hAnsi="Calibri" w:cs="Calibri"/>
          <w:sz w:val="22"/>
        </w:rPr>
        <w:tab/>
      </w:r>
      <w:r w:rsidRPr="00557116">
        <w:t>7.5.4.</w:t>
      </w:r>
      <w:r w:rsidRPr="00557116">
        <w:rPr>
          <w:rFonts w:ascii="Arial" w:eastAsia="Arial" w:hAnsi="Arial" w:cs="Arial"/>
        </w:rPr>
        <w:t xml:space="preserve"> </w:t>
      </w:r>
      <w:r w:rsidRPr="00557116">
        <w:rPr>
          <w:rFonts w:ascii="Arial" w:eastAsia="Arial" w:hAnsi="Arial" w:cs="Arial"/>
        </w:rPr>
        <w:tab/>
      </w:r>
      <w:r w:rsidRPr="00557116">
        <w:t xml:space="preserve">Uuenduslikku tegevust ei lisandu. </w:t>
      </w:r>
    </w:p>
    <w:p w14:paraId="26D14A8F" w14:textId="77777777" w:rsidR="00FF3200" w:rsidRPr="00557116" w:rsidRDefault="00000000">
      <w:pPr>
        <w:spacing w:after="11" w:line="259" w:lineRule="auto"/>
        <w:ind w:left="0" w:right="0" w:firstLine="0"/>
        <w:jc w:val="left"/>
      </w:pPr>
      <w:r w:rsidRPr="00557116">
        <w:t xml:space="preserve"> </w:t>
      </w:r>
    </w:p>
    <w:p w14:paraId="26D14A90" w14:textId="77777777" w:rsidR="00FF3200" w:rsidRPr="00557116" w:rsidRDefault="00000000">
      <w:pPr>
        <w:numPr>
          <w:ilvl w:val="0"/>
          <w:numId w:val="1"/>
        </w:numPr>
        <w:spacing w:after="24"/>
        <w:ind w:right="0" w:hanging="600"/>
      </w:pPr>
      <w:r w:rsidRPr="00557116">
        <w:rPr>
          <w:b/>
        </w:rPr>
        <w:t xml:space="preserve">Toetuse maksimaalne suurus ja määr  </w:t>
      </w:r>
      <w:r w:rsidRPr="00557116">
        <w:rPr>
          <w:b/>
        </w:rPr>
        <w:tab/>
      </w:r>
      <w:r w:rsidRPr="00557116">
        <w:t xml:space="preserve"> </w:t>
      </w:r>
    </w:p>
    <w:p w14:paraId="26D14A91" w14:textId="1516B044" w:rsidR="00FF3200" w:rsidRPr="00557116" w:rsidRDefault="00000000">
      <w:pPr>
        <w:numPr>
          <w:ilvl w:val="1"/>
          <w:numId w:val="1"/>
        </w:numPr>
        <w:ind w:right="0" w:hanging="840"/>
      </w:pPr>
      <w:r w:rsidRPr="00557116">
        <w:t xml:space="preserve">Toetuse määr on 100% abikõlblikest kuludest. </w:t>
      </w:r>
    </w:p>
    <w:p w14:paraId="26D14A92" w14:textId="0D0CB4E2" w:rsidR="00FF3200" w:rsidRPr="00557116" w:rsidRDefault="00000000">
      <w:pPr>
        <w:numPr>
          <w:ilvl w:val="1"/>
          <w:numId w:val="1"/>
        </w:numPr>
        <w:spacing w:after="0" w:line="245" w:lineRule="auto"/>
        <w:ind w:right="0" w:hanging="840"/>
      </w:pPr>
      <w:r w:rsidRPr="00557116">
        <w:t xml:space="preserve">Toetuse suurus on </w:t>
      </w:r>
      <w:r w:rsidR="004255BA" w:rsidRPr="004C05EC">
        <w:rPr>
          <w:b/>
          <w:bCs/>
        </w:rPr>
        <w:t xml:space="preserve">kuni </w:t>
      </w:r>
      <w:r w:rsidR="00FA02C3" w:rsidRPr="004C05EC">
        <w:rPr>
          <w:b/>
          <w:bCs/>
        </w:rPr>
        <w:t>6 000</w:t>
      </w:r>
      <w:r w:rsidR="004255BA" w:rsidRPr="004C05EC">
        <w:rPr>
          <w:b/>
          <w:bCs/>
        </w:rPr>
        <w:t xml:space="preserve"> </w:t>
      </w:r>
      <w:r w:rsidRPr="004C05EC">
        <w:rPr>
          <w:b/>
          <w:bCs/>
        </w:rPr>
        <w:t>€ miniprojekti kohta.</w:t>
      </w:r>
      <w:r w:rsidRPr="00557116">
        <w:t xml:space="preserve"> </w:t>
      </w:r>
    </w:p>
    <w:p w14:paraId="49FE4021" w14:textId="0E815992" w:rsidR="00250074" w:rsidRPr="00557116" w:rsidRDefault="00250074">
      <w:pPr>
        <w:numPr>
          <w:ilvl w:val="1"/>
          <w:numId w:val="1"/>
        </w:numPr>
        <w:spacing w:after="0" w:line="245" w:lineRule="auto"/>
        <w:ind w:right="0" w:hanging="840"/>
      </w:pPr>
      <w:r w:rsidRPr="00557116">
        <w:t>Tegevusrühm kinnitab iga toetusvooru eel miniprojekti toetuse maksimumsuuruse.</w:t>
      </w:r>
    </w:p>
    <w:p w14:paraId="26D14A93" w14:textId="77777777" w:rsidR="00FF3200" w:rsidRPr="00557116" w:rsidRDefault="00000000">
      <w:pPr>
        <w:spacing w:after="11" w:line="259" w:lineRule="auto"/>
        <w:ind w:left="1440" w:right="0" w:firstLine="0"/>
        <w:jc w:val="left"/>
      </w:pPr>
      <w:r w:rsidRPr="00557116">
        <w:t xml:space="preserve"> </w:t>
      </w:r>
    </w:p>
    <w:p w14:paraId="3893A982" w14:textId="77777777" w:rsidR="00670719" w:rsidRPr="00557116" w:rsidRDefault="00000000">
      <w:pPr>
        <w:numPr>
          <w:ilvl w:val="0"/>
          <w:numId w:val="1"/>
        </w:numPr>
        <w:spacing w:after="24"/>
        <w:ind w:right="0" w:hanging="600"/>
      </w:pPr>
      <w:r w:rsidRPr="00557116">
        <w:rPr>
          <w:b/>
        </w:rPr>
        <w:t xml:space="preserve">Strateegia meetme näitajad ja sihtväärtused </w:t>
      </w:r>
      <w:r w:rsidRPr="00557116">
        <w:t xml:space="preserve"> </w:t>
      </w:r>
    </w:p>
    <w:p w14:paraId="26D14A94" w14:textId="2A4F2037" w:rsidR="00FF3200" w:rsidRPr="00557116" w:rsidRDefault="00000000" w:rsidP="00670719">
      <w:pPr>
        <w:spacing w:after="24"/>
        <w:ind w:left="705" w:right="0" w:firstLine="0"/>
      </w:pPr>
      <w:r w:rsidRPr="00557116">
        <w:t>9.1.</w:t>
      </w:r>
      <w:r w:rsidRPr="00557116">
        <w:rPr>
          <w:rFonts w:ascii="Arial" w:eastAsia="Arial" w:hAnsi="Arial" w:cs="Arial"/>
        </w:rPr>
        <w:t xml:space="preserve"> </w:t>
      </w:r>
      <w:r w:rsidRPr="00557116">
        <w:rPr>
          <w:u w:val="single" w:color="000000"/>
        </w:rPr>
        <w:t>Väljundindikaatorid:</w:t>
      </w:r>
      <w:r w:rsidRPr="00557116">
        <w:t xml:space="preserve"> </w:t>
      </w:r>
    </w:p>
    <w:p w14:paraId="26D14A95" w14:textId="3AA04470" w:rsidR="00FF3200" w:rsidRPr="00557116" w:rsidRDefault="00000000">
      <w:pPr>
        <w:numPr>
          <w:ilvl w:val="2"/>
          <w:numId w:val="3"/>
        </w:numPr>
        <w:ind w:right="0" w:hanging="1080"/>
      </w:pPr>
      <w:r w:rsidRPr="00557116">
        <w:t>Miniprojektide arv</w:t>
      </w:r>
      <w:r w:rsidR="009746DA" w:rsidRPr="00557116">
        <w:t xml:space="preserve"> (54)</w:t>
      </w:r>
      <w:r w:rsidRPr="00557116">
        <w:t xml:space="preserve">; </w:t>
      </w:r>
    </w:p>
    <w:p w14:paraId="26D14A96" w14:textId="7C88A194" w:rsidR="00FF3200" w:rsidRPr="00557116" w:rsidRDefault="00000000">
      <w:pPr>
        <w:numPr>
          <w:ilvl w:val="2"/>
          <w:numId w:val="3"/>
        </w:numPr>
        <w:ind w:right="0" w:hanging="1080"/>
      </w:pPr>
      <w:r w:rsidRPr="00557116">
        <w:t>Tegevuste elluviijate arv</w:t>
      </w:r>
      <w:r w:rsidR="009746DA" w:rsidRPr="00557116">
        <w:t xml:space="preserve"> </w:t>
      </w:r>
      <w:r w:rsidR="008913AF" w:rsidRPr="00557116">
        <w:t>(54)</w:t>
      </w:r>
      <w:r w:rsidRPr="00557116">
        <w:t xml:space="preserve">; </w:t>
      </w:r>
    </w:p>
    <w:p w14:paraId="26D14A97" w14:textId="08543C73" w:rsidR="00FF3200" w:rsidRPr="00557116" w:rsidRDefault="00000000">
      <w:pPr>
        <w:numPr>
          <w:ilvl w:val="2"/>
          <w:numId w:val="3"/>
        </w:numPr>
        <w:ind w:right="0" w:hanging="1080"/>
      </w:pPr>
      <w:r w:rsidRPr="00557116">
        <w:t>Tegevustesse kaasatute arv</w:t>
      </w:r>
      <w:r w:rsidR="008913AF" w:rsidRPr="00557116">
        <w:t xml:space="preserve"> (</w:t>
      </w:r>
      <w:r w:rsidR="00B93C2D" w:rsidRPr="00557116">
        <w:t>70</w:t>
      </w:r>
      <w:r w:rsidR="008913AF" w:rsidRPr="00557116">
        <w:t>)</w:t>
      </w:r>
      <w:r w:rsidRPr="00557116">
        <w:t xml:space="preserve">; </w:t>
      </w:r>
    </w:p>
    <w:p w14:paraId="26D14A98" w14:textId="21513202" w:rsidR="00FF3200" w:rsidRPr="00557116" w:rsidRDefault="00000000">
      <w:pPr>
        <w:numPr>
          <w:ilvl w:val="2"/>
          <w:numId w:val="3"/>
        </w:numPr>
        <w:ind w:right="0" w:hanging="1080"/>
      </w:pPr>
      <w:r w:rsidRPr="00557116">
        <w:t>Õppereisidel osalenute arv</w:t>
      </w:r>
      <w:r w:rsidR="008913AF" w:rsidRPr="00557116">
        <w:t xml:space="preserve"> (</w:t>
      </w:r>
      <w:r w:rsidR="00B93C2D" w:rsidRPr="00557116">
        <w:t>30)</w:t>
      </w:r>
      <w:r w:rsidRPr="00557116">
        <w:t xml:space="preserve">. </w:t>
      </w:r>
    </w:p>
    <w:p w14:paraId="26D14A99" w14:textId="77777777" w:rsidR="00FF3200" w:rsidRPr="00557116" w:rsidRDefault="00000000">
      <w:pPr>
        <w:tabs>
          <w:tab w:val="center" w:pos="840"/>
          <w:tab w:val="center" w:pos="2714"/>
        </w:tabs>
        <w:spacing w:after="16" w:line="259" w:lineRule="auto"/>
        <w:ind w:left="0" w:right="0" w:firstLine="0"/>
        <w:jc w:val="left"/>
      </w:pPr>
      <w:r w:rsidRPr="00557116">
        <w:rPr>
          <w:rFonts w:ascii="Calibri" w:eastAsia="Calibri" w:hAnsi="Calibri" w:cs="Calibri"/>
          <w:sz w:val="22"/>
        </w:rPr>
        <w:tab/>
      </w:r>
      <w:r w:rsidRPr="00557116">
        <w:t>9.2.</w:t>
      </w:r>
      <w:r w:rsidRPr="00557116">
        <w:rPr>
          <w:rFonts w:ascii="Arial" w:eastAsia="Arial" w:hAnsi="Arial" w:cs="Arial"/>
        </w:rPr>
        <w:t xml:space="preserve"> </w:t>
      </w:r>
      <w:r w:rsidRPr="00557116">
        <w:rPr>
          <w:rFonts w:ascii="Arial" w:eastAsia="Arial" w:hAnsi="Arial" w:cs="Arial"/>
        </w:rPr>
        <w:tab/>
      </w:r>
      <w:r w:rsidRPr="00557116">
        <w:rPr>
          <w:u w:val="single" w:color="000000"/>
        </w:rPr>
        <w:t>Tulemusindikaatorid:</w:t>
      </w:r>
      <w:r w:rsidRPr="00557116">
        <w:t xml:space="preserve"> </w:t>
      </w:r>
    </w:p>
    <w:p w14:paraId="26D14A9A" w14:textId="1D52379C" w:rsidR="00FF3200" w:rsidRPr="00557116" w:rsidRDefault="00000000">
      <w:pPr>
        <w:numPr>
          <w:ilvl w:val="2"/>
          <w:numId w:val="1"/>
        </w:numPr>
        <w:ind w:right="0" w:hanging="1080"/>
      </w:pPr>
      <w:r w:rsidRPr="00557116">
        <w:t>Sotsiaalse kaasatuse edendamine: tegevustesse kaasatud sihtgrupi esindajate arv (</w:t>
      </w:r>
      <w:r w:rsidR="00253A6F" w:rsidRPr="00557116">
        <w:t>250</w:t>
      </w:r>
      <w:r w:rsidRPr="00557116">
        <w:t xml:space="preserve">); </w:t>
      </w:r>
    </w:p>
    <w:p w14:paraId="26D14A9B" w14:textId="77777777" w:rsidR="00FF3200" w:rsidRPr="00557116" w:rsidRDefault="00000000">
      <w:pPr>
        <w:numPr>
          <w:ilvl w:val="2"/>
          <w:numId w:val="1"/>
        </w:numPr>
        <w:ind w:right="0" w:hanging="1080"/>
      </w:pPr>
      <w:r w:rsidRPr="00557116">
        <w:t xml:space="preserve">Uute ja parendatud (edasiarendatud) sihtgrupile suunatud tegevuste arv (25). </w:t>
      </w:r>
    </w:p>
    <w:p w14:paraId="26D14A9C" w14:textId="77777777" w:rsidR="00FF3200" w:rsidRPr="00557116" w:rsidRDefault="00000000">
      <w:pPr>
        <w:tabs>
          <w:tab w:val="center" w:pos="840"/>
          <w:tab w:val="center" w:pos="2495"/>
        </w:tabs>
        <w:spacing w:after="16" w:line="259" w:lineRule="auto"/>
        <w:ind w:left="0" w:right="0" w:firstLine="0"/>
        <w:jc w:val="left"/>
      </w:pPr>
      <w:r w:rsidRPr="00557116">
        <w:rPr>
          <w:rFonts w:ascii="Calibri" w:eastAsia="Calibri" w:hAnsi="Calibri" w:cs="Calibri"/>
          <w:sz w:val="22"/>
        </w:rPr>
        <w:tab/>
      </w:r>
      <w:r w:rsidRPr="00557116">
        <w:t>9.3.</w:t>
      </w:r>
      <w:r w:rsidRPr="00557116">
        <w:rPr>
          <w:rFonts w:ascii="Arial" w:eastAsia="Arial" w:hAnsi="Arial" w:cs="Arial"/>
        </w:rPr>
        <w:t xml:space="preserve"> </w:t>
      </w:r>
      <w:r w:rsidRPr="00557116">
        <w:rPr>
          <w:rFonts w:ascii="Arial" w:eastAsia="Arial" w:hAnsi="Arial" w:cs="Arial"/>
        </w:rPr>
        <w:tab/>
      </w:r>
      <w:r w:rsidRPr="00557116">
        <w:rPr>
          <w:u w:val="single" w:color="000000"/>
        </w:rPr>
        <w:t>Mõjuindikaatorid:</w:t>
      </w:r>
      <w:r w:rsidRPr="00557116">
        <w:t xml:space="preserve"> </w:t>
      </w:r>
    </w:p>
    <w:p w14:paraId="26D14A9D" w14:textId="4CBBD311" w:rsidR="00FF3200" w:rsidRDefault="00000000">
      <w:pPr>
        <w:ind w:right="0"/>
      </w:pPr>
      <w:r w:rsidRPr="00557116">
        <w:t>Toetatud sotsiaalse kaasamise projektidega hõlmatud isikute arv</w:t>
      </w:r>
      <w:r w:rsidR="00B93C2D" w:rsidRPr="00557116">
        <w:t xml:space="preserve"> (</w:t>
      </w:r>
      <w:r w:rsidR="00253A6F" w:rsidRPr="00557116">
        <w:t>250</w:t>
      </w:r>
      <w:r w:rsidR="00B93C2D" w:rsidRPr="00557116">
        <w:t>)</w:t>
      </w:r>
      <w:r w:rsidRPr="00557116">
        <w:t>.</w:t>
      </w:r>
      <w:r>
        <w:rPr>
          <w:rFonts w:ascii="Calibri" w:eastAsia="Calibri" w:hAnsi="Calibri" w:cs="Calibri"/>
          <w:sz w:val="22"/>
        </w:rPr>
        <w:t xml:space="preserve"> </w:t>
      </w:r>
    </w:p>
    <w:sectPr w:rsidR="00FF3200">
      <w:pgSz w:w="12240" w:h="15840"/>
      <w:pgMar w:top="1499" w:right="1438" w:bottom="16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10B"/>
    <w:multiLevelType w:val="hybridMultilevel"/>
    <w:tmpl w:val="184CA41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B0E213E"/>
    <w:multiLevelType w:val="multilevel"/>
    <w:tmpl w:val="07F82D76"/>
    <w:lvl w:ilvl="0">
      <w:start w:val="4"/>
      <w:numFmt w:val="decimal"/>
      <w:lvlText w:val="%1"/>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6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0"/>
      <w:numFmt w:val="decimal"/>
      <w:lvlText w:val="%1.%2.%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061BE2"/>
    <w:multiLevelType w:val="hybridMultilevel"/>
    <w:tmpl w:val="88082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D7FC6"/>
    <w:multiLevelType w:val="multilevel"/>
    <w:tmpl w:val="55C27C22"/>
    <w:lvl w:ilvl="0">
      <w:start w:val="3"/>
      <w:numFmt w:val="decimal"/>
      <w:lvlText w:val="%1."/>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4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8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787356"/>
    <w:multiLevelType w:val="multilevel"/>
    <w:tmpl w:val="EE304ED8"/>
    <w:lvl w:ilvl="0">
      <w:start w:val="9"/>
      <w:numFmt w:val="decimal"/>
      <w:lvlText w:val="%1"/>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4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398406041">
    <w:abstractNumId w:val="3"/>
  </w:num>
  <w:num w:numId="2" w16cid:durableId="1837574192">
    <w:abstractNumId w:val="1"/>
  </w:num>
  <w:num w:numId="3" w16cid:durableId="32079325">
    <w:abstractNumId w:val="4"/>
  </w:num>
  <w:num w:numId="4" w16cid:durableId="1745832100">
    <w:abstractNumId w:val="0"/>
  </w:num>
  <w:num w:numId="5" w16cid:durableId="2071609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00"/>
    <w:rsid w:val="00053FFB"/>
    <w:rsid w:val="002008A7"/>
    <w:rsid w:val="00250074"/>
    <w:rsid w:val="00253A6F"/>
    <w:rsid w:val="002E1179"/>
    <w:rsid w:val="002E7D13"/>
    <w:rsid w:val="00384DA4"/>
    <w:rsid w:val="004255BA"/>
    <w:rsid w:val="00433FFF"/>
    <w:rsid w:val="004C05EC"/>
    <w:rsid w:val="004D401F"/>
    <w:rsid w:val="00513A0C"/>
    <w:rsid w:val="00557116"/>
    <w:rsid w:val="005B2730"/>
    <w:rsid w:val="00670719"/>
    <w:rsid w:val="006B3142"/>
    <w:rsid w:val="006E705A"/>
    <w:rsid w:val="00747C6F"/>
    <w:rsid w:val="008913AF"/>
    <w:rsid w:val="008B13F4"/>
    <w:rsid w:val="009746DA"/>
    <w:rsid w:val="009F04AB"/>
    <w:rsid w:val="00AE27F1"/>
    <w:rsid w:val="00B93C2D"/>
    <w:rsid w:val="00BB74B4"/>
    <w:rsid w:val="00C15F52"/>
    <w:rsid w:val="00C33A00"/>
    <w:rsid w:val="00C36C2D"/>
    <w:rsid w:val="00C46999"/>
    <w:rsid w:val="00C568D4"/>
    <w:rsid w:val="00D2287E"/>
    <w:rsid w:val="00ED607F"/>
    <w:rsid w:val="00F91CFE"/>
    <w:rsid w:val="00FA02C3"/>
    <w:rsid w:val="00FF32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4A58"/>
  <w15:docId w15:val="{4E19BA88-E33D-43FE-8472-28DE4DA5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5" w:line="249" w:lineRule="auto"/>
      <w:ind w:left="10" w:right="3676" w:hanging="10"/>
      <w:jc w:val="both"/>
    </w:pPr>
    <w:rPr>
      <w:rFonts w:ascii="Verdana" w:eastAsia="Verdana" w:hAnsi="Verdana" w:cs="Verdana"/>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6E705A"/>
    <w:rPr>
      <w:sz w:val="16"/>
      <w:szCs w:val="16"/>
    </w:rPr>
  </w:style>
  <w:style w:type="paragraph" w:styleId="Kommentaaritekst">
    <w:name w:val="annotation text"/>
    <w:basedOn w:val="Normaallaad"/>
    <w:link w:val="KommentaaritekstMrk"/>
    <w:uiPriority w:val="99"/>
    <w:unhideWhenUsed/>
    <w:rsid w:val="006E705A"/>
    <w:pPr>
      <w:spacing w:line="240" w:lineRule="auto"/>
    </w:pPr>
    <w:rPr>
      <w:sz w:val="20"/>
      <w:szCs w:val="20"/>
    </w:rPr>
  </w:style>
  <w:style w:type="character" w:customStyle="1" w:styleId="KommentaaritekstMrk">
    <w:name w:val="Kommentaari tekst Märk"/>
    <w:basedOn w:val="Liguvaikefont"/>
    <w:link w:val="Kommentaaritekst"/>
    <w:uiPriority w:val="99"/>
    <w:rsid w:val="006E705A"/>
    <w:rPr>
      <w:rFonts w:ascii="Verdana" w:eastAsia="Verdana" w:hAnsi="Verdana" w:cs="Verdana"/>
      <w:color w:val="000000"/>
      <w:sz w:val="20"/>
      <w:szCs w:val="20"/>
    </w:rPr>
  </w:style>
  <w:style w:type="paragraph" w:styleId="Kommentaariteema">
    <w:name w:val="annotation subject"/>
    <w:basedOn w:val="Kommentaaritekst"/>
    <w:next w:val="Kommentaaritekst"/>
    <w:link w:val="KommentaariteemaMrk"/>
    <w:uiPriority w:val="99"/>
    <w:semiHidden/>
    <w:unhideWhenUsed/>
    <w:rsid w:val="006E705A"/>
    <w:rPr>
      <w:b/>
      <w:bCs/>
    </w:rPr>
  </w:style>
  <w:style w:type="character" w:customStyle="1" w:styleId="KommentaariteemaMrk">
    <w:name w:val="Kommentaari teema Märk"/>
    <w:basedOn w:val="KommentaaritekstMrk"/>
    <w:link w:val="Kommentaariteema"/>
    <w:uiPriority w:val="99"/>
    <w:semiHidden/>
    <w:rsid w:val="006E705A"/>
    <w:rPr>
      <w:rFonts w:ascii="Verdana" w:eastAsia="Verdana" w:hAnsi="Verdana" w:cs="Verdana"/>
      <w:b/>
      <w:bCs/>
      <w:color w:val="000000"/>
      <w:sz w:val="20"/>
      <w:szCs w:val="20"/>
    </w:rPr>
  </w:style>
  <w:style w:type="paragraph" w:styleId="Loendilik">
    <w:name w:val="List Paragraph"/>
    <w:basedOn w:val="Normaallaad"/>
    <w:uiPriority w:val="34"/>
    <w:qFormat/>
    <w:rsid w:val="00C36C2D"/>
    <w:pPr>
      <w:ind w:left="720"/>
      <w:contextualSpacing/>
    </w:pPr>
  </w:style>
  <w:style w:type="paragraph" w:styleId="Redaktsioon">
    <w:name w:val="Revision"/>
    <w:hidden/>
    <w:uiPriority w:val="99"/>
    <w:semiHidden/>
    <w:rsid w:val="00C33A00"/>
    <w:pPr>
      <w:spacing w:after="0" w:line="240" w:lineRule="auto"/>
    </w:pPr>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9F7799B0CFE894F884EAB1620C1FEAE" ma:contentTypeVersion="3" ma:contentTypeDescription="Loo uus dokument" ma:contentTypeScope="" ma:versionID="dad839998c855217f981617064a6def0">
  <xsd:schema xmlns:xsd="http://www.w3.org/2001/XMLSchema" xmlns:xs="http://www.w3.org/2001/XMLSchema" xmlns:p="http://schemas.microsoft.com/office/2006/metadata/properties" xmlns:ns2="aff8a95a-bdca-4bd1-9f28-df5ebd643b89" xmlns:ns3="0c0c7f0a-cfff-4da3-bf4b-351368c4d1a1" targetNamespace="http://schemas.microsoft.com/office/2006/metadata/properties" ma:root="true" ma:fieldsID="33bf2686ad9173138ca6b10f878b1fa3" ns2:_="" ns3:_="">
    <xsd:import namespace="aff8a95a-bdca-4bd1-9f28-df5ebd643b89"/>
    <xsd:import namespace="0c0c7f0a-cfff-4da3-bf4b-351368c4d1a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is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7f0a-cfff-4da3-bf4b-351368c4d1a1" elementFormDefault="qualified">
    <xsd:import namespace="http://schemas.microsoft.com/office/2006/documentManagement/types"/>
    <xsd:import namespace="http://schemas.microsoft.com/office/infopath/2007/PartnerControls"/>
    <xsd:element name="Lisainfo" ma:index="13" nillable="true" ma:displayName="Lisainfo" ma:internalName="Lisa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sainfo xmlns="0c0c7f0a-cfff-4da3-bf4b-351368c4d1a1" xsi:nil="true"/>
    <_dlc_DocId xmlns="aff8a95a-bdca-4bd1-9f28-df5ebd643b89">HXU5DPSK444F-947444548-28032</_dlc_DocId>
    <_dlc_DocIdUrl xmlns="aff8a95a-bdca-4bd1-9f28-df5ebd643b89">
      <Url>https://kontor.rik.ee/sm/_layouts/15/DocIdRedir.aspx?ID=HXU5DPSK444F-947444548-28032</Url>
      <Description>HXU5DPSK444F-947444548-28032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1DE0F7-1B88-4F25-834C-A2886267DC67}">
  <ds:schemaRefs>
    <ds:schemaRef ds:uri="http://schemas.openxmlformats.org/officeDocument/2006/bibliography"/>
  </ds:schemaRefs>
</ds:datastoreItem>
</file>

<file path=customXml/itemProps2.xml><?xml version="1.0" encoding="utf-8"?>
<ds:datastoreItem xmlns:ds="http://schemas.openxmlformats.org/officeDocument/2006/customXml" ds:itemID="{DA130355-F111-4E7D-A07C-D60FDF0E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0c0c7f0a-cfff-4da3-bf4b-351368c4d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759D-7F63-42DA-AF53-7783D22BDE22}">
  <ds:schemaRefs>
    <ds:schemaRef ds:uri="http://schemas.microsoft.com/office/2006/metadata/properties"/>
    <ds:schemaRef ds:uri="http://schemas.microsoft.com/office/infopath/2007/PartnerControls"/>
    <ds:schemaRef ds:uri="0c0c7f0a-cfff-4da3-bf4b-351368c4d1a1"/>
    <ds:schemaRef ds:uri="aff8a95a-bdca-4bd1-9f28-df5ebd643b89"/>
  </ds:schemaRefs>
</ds:datastoreItem>
</file>

<file path=customXml/itemProps4.xml><?xml version="1.0" encoding="utf-8"?>
<ds:datastoreItem xmlns:ds="http://schemas.openxmlformats.org/officeDocument/2006/customXml" ds:itemID="{F94A4C69-8185-4156-A61B-E85CF4E6FB49}">
  <ds:schemaRefs>
    <ds:schemaRef ds:uri="http://schemas.microsoft.com/sharepoint/v3/contenttype/forms"/>
  </ds:schemaRefs>
</ds:datastoreItem>
</file>

<file path=customXml/itemProps5.xml><?xml version="1.0" encoding="utf-8"?>
<ds:datastoreItem xmlns:ds="http://schemas.openxmlformats.org/officeDocument/2006/customXml" ds:itemID="{B68A0352-8ACB-4FCB-B2EF-AF34088B6E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6036</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 Tomson</dc:creator>
  <cp:keywords/>
  <cp:lastModifiedBy>Alo Tomson</cp:lastModifiedBy>
  <cp:revision>3</cp:revision>
  <dcterms:created xsi:type="dcterms:W3CDTF">2026-01-30T12:12:00Z</dcterms:created>
  <dcterms:modified xsi:type="dcterms:W3CDTF">2026-02-06T09:38:00Z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0x01010079F7799B0CFE894F884EAB1620C1FEAE</vt:lpwstr>
  </property>
  <property fmtid="{D5CDD505-2E9C-101B-9397-08002B2CF9AE}" pid="3" name="_dlc_DocIdItemGuid">
    <vt:lpwstr>32f32d4c-e93c-4322-92d9-8eedc860bc05</vt:lpwstr>
  </property>
</Properties>
</file>