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2471D" w:rsidRDefault="002247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2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                     </w:t>
      </w:r>
    </w:p>
    <w:p w14:paraId="00000003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                    </w:t>
      </w:r>
      <w:r>
        <w:rPr>
          <w:color w:val="000000"/>
          <w:sz w:val="30"/>
          <w:szCs w:val="30"/>
        </w:rPr>
        <w:t>Pärnu Lahe Partnerluskogu                                     L</w:t>
      </w:r>
      <w:r>
        <w:rPr>
          <w:color w:val="000000"/>
        </w:rPr>
        <w:t xml:space="preserve">isa 1 </w:t>
      </w:r>
    </w:p>
    <w:p w14:paraId="00000004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proofErr w:type="spellStart"/>
      <w:r>
        <w:rPr>
          <w:color w:val="000000"/>
        </w:rPr>
        <w:t>Reg</w:t>
      </w:r>
      <w:proofErr w:type="spellEnd"/>
      <w:r>
        <w:rPr>
          <w:color w:val="000000"/>
        </w:rPr>
        <w:t xml:space="preserve"> nr 80194047</w:t>
      </w:r>
    </w:p>
    <w:p w14:paraId="00000005" w14:textId="77777777" w:rsidR="0022471D" w:rsidRDefault="002247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6" w14:textId="77777777" w:rsidR="0022471D" w:rsidRDefault="002247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7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 Kinnitatud PLPK juhatuse otsusega </w:t>
      </w:r>
      <w:r>
        <w:t>12</w:t>
      </w:r>
      <w:r>
        <w:rPr>
          <w:color w:val="000000"/>
        </w:rPr>
        <w:t>.</w:t>
      </w:r>
      <w:r>
        <w:t>10</w:t>
      </w:r>
      <w:r>
        <w:rPr>
          <w:color w:val="000000"/>
        </w:rPr>
        <w:t>.20</w:t>
      </w:r>
      <w:r>
        <w:t>21</w:t>
      </w:r>
    </w:p>
    <w:p w14:paraId="00000008" w14:textId="77777777" w:rsidR="0022471D" w:rsidRDefault="002247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00000009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PLPK juhatuse esimees</w:t>
      </w:r>
    </w:p>
    <w:p w14:paraId="0000000A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Avalikustatud PLPK veebilehel  </w:t>
      </w:r>
      <w:hyperlink r:id="rId6">
        <w:r>
          <w:rPr>
            <w:color w:val="000000"/>
            <w:u w:val="single"/>
          </w:rPr>
          <w:t>www.plp.ee</w:t>
        </w:r>
      </w:hyperlink>
    </w:p>
    <w:p w14:paraId="0000000B" w14:textId="77777777" w:rsidR="0022471D" w:rsidRDefault="0022471D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240" w:lineRule="auto"/>
        <w:ind w:left="0" w:hanging="2"/>
        <w:rPr>
          <w:color w:val="000000"/>
        </w:rPr>
      </w:pPr>
    </w:p>
    <w:p w14:paraId="0000000C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MTÜ Pärnu Lahe Partnerluskogu</w:t>
      </w:r>
      <w:r>
        <w:rPr>
          <w:b/>
          <w:color w:val="000000"/>
        </w:rPr>
        <w:tab/>
        <w:t xml:space="preserve">  </w:t>
      </w:r>
    </w:p>
    <w:p w14:paraId="0000000D" w14:textId="77777777" w:rsidR="0022471D" w:rsidRDefault="002247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E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Projektitoetuse taotleja nõustamise; PLPK projektitaotluse  menetlemise; projektitaotluse PRIA e-teenuse  keskkonna kaudu  vastuvõtmise ning projektitoetuse taotleja, projektitaotluse ja toetatava tegevuse nõuetele vastavuse kontrollimise; PLPK hindamiskom</w:t>
      </w:r>
      <w:r>
        <w:rPr>
          <w:b/>
          <w:color w:val="000000"/>
        </w:rPr>
        <w:t>isjoni moodustamise  kord ja hindamiskomisjoni kodukord; projektitaotluste hindamise ja paremusjärjestuse koostamise kord; projektitaotluste menetlemisel hindamiskomisjoni ja juhatuse liikme taandamise  kord; seireandmete ja teabe kogumise kord.</w:t>
      </w:r>
    </w:p>
    <w:p w14:paraId="0000000F" w14:textId="77777777" w:rsidR="0022471D" w:rsidRDefault="002247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00000010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1. Üldosa</w:t>
      </w:r>
      <w:r>
        <w:rPr>
          <w:b/>
          <w:color w:val="000000"/>
        </w:rPr>
        <w:t>.</w:t>
      </w:r>
    </w:p>
    <w:p w14:paraId="00000011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 xml:space="preserve">MTÜ Pärnu Lahe Partnerluskogu (edaspidi PLPK) </w:t>
      </w:r>
      <w:r>
        <w:rPr>
          <w:color w:val="000000"/>
        </w:rPr>
        <w:t>Projektitoetuse taotleja nõustamise; PLPK projektitaotluse  menetlemise; projektitaotluse PRIA e-teenuse  keskkonna kaudu  vastuvõtmise ning projektitoetuse taotleja, projektitaotluse ja toetatava tegevuse nõuetele vastavuse kontrollimise; PLPK hindamiskom</w:t>
      </w:r>
      <w:r>
        <w:rPr>
          <w:color w:val="000000"/>
        </w:rPr>
        <w:t>isjoni moodustamise  kord ja hindamiskomisjoni kodukord; projektitaotluste hindamise ja paremusjärjestuse koostamise kord; projektitaotluste menetlemisel hindamiskomisjoni ja juhatuse liikme taandamise  kord; seireandmete ja teabe kogumise kord</w:t>
      </w:r>
      <w:r>
        <w:rPr>
          <w:i/>
          <w:color w:val="000000"/>
        </w:rPr>
        <w:t xml:space="preserve"> (edaspidi K</w:t>
      </w:r>
      <w:r>
        <w:rPr>
          <w:i/>
          <w:color w:val="000000"/>
        </w:rPr>
        <w:t xml:space="preserve">ord) </w:t>
      </w:r>
      <w:r>
        <w:rPr>
          <w:color w:val="000000"/>
        </w:rPr>
        <w:t xml:space="preserve">on kooskõlas Euroopa Liidu ühise põllumajanduspoliitika rakendamise seaduse (edaspidi ELÜPS) § 67 lõike 2, § 69 lõigete 3 ja 9, § 70 lõike 2 ning § 82 lõike 3 alusel. </w:t>
      </w:r>
      <w:r>
        <w:rPr>
          <w:color w:val="000000"/>
          <w:sz w:val="22"/>
          <w:szCs w:val="22"/>
        </w:rPr>
        <w:t>Maaeluministri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>23.oktoobri 2015 määrusega  nr.11 „</w:t>
      </w:r>
      <w:r>
        <w:rPr>
          <w:b/>
          <w:color w:val="000000"/>
        </w:rPr>
        <w:t xml:space="preserve">Kohaliku tegevusgrupi toetus ja </w:t>
      </w:r>
      <w:r>
        <w:rPr>
          <w:b/>
          <w:i/>
          <w:color w:val="000000"/>
        </w:rPr>
        <w:t>LE</w:t>
      </w:r>
      <w:r>
        <w:rPr>
          <w:b/>
          <w:i/>
          <w:color w:val="000000"/>
        </w:rPr>
        <w:t>ADER</w:t>
      </w:r>
      <w:r>
        <w:rPr>
          <w:b/>
          <w:color w:val="000000"/>
        </w:rPr>
        <w:t>-projektitoetus“</w:t>
      </w:r>
      <w:r>
        <w:rPr>
          <w:color w:val="000000"/>
        </w:rPr>
        <w:t xml:space="preserve"> (edaspidi </w:t>
      </w:r>
      <w:proofErr w:type="spellStart"/>
      <w:r>
        <w:rPr>
          <w:i/>
          <w:color w:val="000000"/>
        </w:rPr>
        <w:t>Leader</w:t>
      </w:r>
      <w:proofErr w:type="spellEnd"/>
      <w:r>
        <w:rPr>
          <w:color w:val="000000"/>
        </w:rPr>
        <w:t xml:space="preserve"> määrus), PLPK tegevuspiirkonna strateegiaga 2014-202</w:t>
      </w:r>
      <w:r>
        <w:t>5</w:t>
      </w:r>
      <w:r>
        <w:rPr>
          <w:color w:val="000000"/>
        </w:rPr>
        <w:t xml:space="preserve"> (edaspidi Strateegia) ja PLPK jooksva aasta rakenduskavaga (edaspidi Rakenduskava). Kord on koostatud projektitaotluste menetlemiseks kooskõlas PLPK tegevuspiirkonn</w:t>
      </w:r>
      <w:r>
        <w:rPr>
          <w:color w:val="000000"/>
        </w:rPr>
        <w:t>a strateegiaga 2014-202</w:t>
      </w:r>
      <w:r>
        <w:t>5</w:t>
      </w:r>
      <w:r>
        <w:rPr>
          <w:color w:val="000000"/>
        </w:rPr>
        <w:t xml:space="preserve">  ja PLPK jooksva aasta rakenduskavaga. </w:t>
      </w:r>
    </w:p>
    <w:p w14:paraId="00000012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Kord jõustub PLPK juhatuse otsuse avalikustamisest PLPK veebilehel </w:t>
      </w:r>
      <w:hyperlink r:id="rId7">
        <w:r>
          <w:rPr>
            <w:color w:val="000000"/>
            <w:u w:val="single"/>
          </w:rPr>
          <w:t>www.plp.ee</w:t>
        </w:r>
      </w:hyperlink>
      <w:r>
        <w:rPr>
          <w:color w:val="000000"/>
        </w:rPr>
        <w:t>.</w:t>
      </w:r>
    </w:p>
    <w:p w14:paraId="00000013" w14:textId="77777777" w:rsidR="0022471D" w:rsidRDefault="002247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00000014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1.1 PLPK on mittetulundusühing, mis tegutseb kohaliku tegevusgrupina alates 2003.aastast.</w:t>
      </w:r>
    </w:p>
    <w:p w14:paraId="00000015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1.2 Projektitoetuse saamiseks esitab projektitoetuse taotleja (edaspidi Taotleja) selleks PLPK poolt ettenähtud tähtajal (edaspidi Taotlusvoor) </w:t>
      </w:r>
      <w:proofErr w:type="spellStart"/>
      <w:r>
        <w:rPr>
          <w:color w:val="000000"/>
        </w:rPr>
        <w:t>PRIA-le</w:t>
      </w:r>
      <w:proofErr w:type="spellEnd"/>
      <w:r>
        <w:rPr>
          <w:color w:val="000000"/>
        </w:rPr>
        <w:t xml:space="preserve">  PLPK kaudu el</w:t>
      </w:r>
      <w:r>
        <w:rPr>
          <w:color w:val="000000"/>
        </w:rPr>
        <w:t>ektrooniliselt PRIA e-teenuse keskkonna kaudu avalduse ja selles esitatud andmeid tõendavad dokumendid (edaspidi koos Projektitaotlus, või lühendatult Taotlus).</w:t>
      </w:r>
      <w:r>
        <w:rPr>
          <w:b/>
          <w:color w:val="000000"/>
        </w:rPr>
        <w:t xml:space="preserve"> </w:t>
      </w:r>
    </w:p>
    <w:p w14:paraId="00000016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1.2.1</w:t>
      </w:r>
      <w:r>
        <w:rPr>
          <w:b/>
          <w:color w:val="000000"/>
        </w:rPr>
        <w:t xml:space="preserve"> </w:t>
      </w:r>
      <w:r>
        <w:rPr>
          <w:color w:val="000000"/>
        </w:rPr>
        <w:t>Nõuded Projektitaotluse osaks olevale  avaldusele ja esitatavatele dokumentidele tulenev</w:t>
      </w:r>
      <w:r>
        <w:rPr>
          <w:color w:val="000000"/>
        </w:rPr>
        <w:t xml:space="preserve">ad  </w:t>
      </w:r>
      <w:proofErr w:type="spellStart"/>
      <w:r>
        <w:rPr>
          <w:i/>
          <w:color w:val="000000"/>
        </w:rPr>
        <w:t>Leader</w:t>
      </w:r>
      <w:proofErr w:type="spellEnd"/>
      <w:r>
        <w:rPr>
          <w:color w:val="000000"/>
        </w:rPr>
        <w:t xml:space="preserve"> määrusest ja Rakenduskavast.</w:t>
      </w:r>
    </w:p>
    <w:p w14:paraId="00000017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1.3 Hindamiskomisjon (</w:t>
      </w:r>
      <w:proofErr w:type="spellStart"/>
      <w:r>
        <w:rPr>
          <w:color w:val="000000"/>
        </w:rPr>
        <w:t>Leader</w:t>
      </w:r>
      <w:proofErr w:type="spellEnd"/>
      <w:r>
        <w:rPr>
          <w:color w:val="000000"/>
        </w:rPr>
        <w:t xml:space="preserve"> määruses töörühm)- edaspidi Komisjon. </w:t>
      </w:r>
    </w:p>
    <w:p w14:paraId="00000018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1.4 Hindamiskriteeriumid on Strateegias ja Rakenduskavas esitatud valiku kriteeriumid, mille alusel  Hindamiskomisjon hindab Projektitaotlusi. </w:t>
      </w:r>
    </w:p>
    <w:p w14:paraId="00000019" w14:textId="77777777" w:rsidR="0022471D" w:rsidRDefault="00411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Projektitaotlus-edaspidi Projekt. </w:t>
      </w:r>
    </w:p>
    <w:p w14:paraId="0000001A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1.6 PLPK kuulutab teabe Taotlusvooru- Projektitaotluste vastuvõtu tähtaeg ja Projektitaotluste kohalikus tegevusgrupis hindamise tähtaeg, kohta ajalehes „Pärnu Postimees</w:t>
      </w:r>
      <w:r>
        <w:rPr>
          <w:b/>
          <w:color w:val="000000"/>
        </w:rPr>
        <w:t>“</w:t>
      </w:r>
      <w:r>
        <w:rPr>
          <w:color w:val="000000"/>
        </w:rPr>
        <w:t xml:space="preserve"> ja PLPK veebilehel  </w:t>
      </w:r>
      <w:hyperlink r:id="rId8">
        <w:r>
          <w:rPr>
            <w:color w:val="000000"/>
            <w:u w:val="single"/>
          </w:rPr>
          <w:t>www.plp.ee</w:t>
        </w:r>
      </w:hyperlink>
      <w:r>
        <w:rPr>
          <w:color w:val="000000"/>
        </w:rPr>
        <w:t xml:space="preserve">  vähemalt neli nädalat enne Projektitaotluste vastuvõtu tähtaja algust.</w:t>
      </w:r>
    </w:p>
    <w:p w14:paraId="0000001B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1.7 PLPK avalikustab tegevuspiirkonna elanikele oma veebilehel </w:t>
      </w:r>
      <w:hyperlink r:id="rId9">
        <w:r>
          <w:rPr>
            <w:color w:val="000000"/>
            <w:u w:val="single"/>
          </w:rPr>
          <w:t>www.plp.ee</w:t>
        </w:r>
      </w:hyperlink>
      <w:r>
        <w:rPr>
          <w:color w:val="000000"/>
        </w:rPr>
        <w:t xml:space="preserve"> 4 nädalat enne projektitaotluste vastuvõtu algust tea</w:t>
      </w:r>
      <w:r>
        <w:rPr>
          <w:color w:val="000000"/>
        </w:rPr>
        <w:t>be strateegia meetme ning projektitaotluse hindamiskriteeriumite ja hindamise korra, sealhulgas projektitaotluste paremusjärjestuse koostamise korra kohta, mille järgi hindab PLPK projektitaotlusi.</w:t>
      </w:r>
    </w:p>
    <w:p w14:paraId="0000001C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1.8 PLPK avalikustab tegevuspiirkonna elanikele oma veebil</w:t>
      </w:r>
      <w:r>
        <w:rPr>
          <w:color w:val="000000"/>
        </w:rPr>
        <w:t xml:space="preserve">ehel teabe projektide ja nende tulemuste kohta, sealhulgas </w:t>
      </w:r>
      <w:proofErr w:type="spellStart"/>
      <w:r>
        <w:rPr>
          <w:color w:val="000000"/>
        </w:rPr>
        <w:t>Leader</w:t>
      </w:r>
      <w:proofErr w:type="spellEnd"/>
      <w:r>
        <w:rPr>
          <w:color w:val="000000"/>
        </w:rPr>
        <w:t xml:space="preserve"> määruse § 28 lõike 3 punktis 2 ja § 29 nimetatud </w:t>
      </w:r>
      <w:proofErr w:type="spellStart"/>
      <w:r>
        <w:rPr>
          <w:color w:val="000000"/>
        </w:rPr>
        <w:t>ühis</w:t>
      </w:r>
      <w:proofErr w:type="spellEnd"/>
      <w:r>
        <w:rPr>
          <w:color w:val="000000"/>
        </w:rPr>
        <w:t>- ja koostööprojekti eesmärgi, partnerid ja üldised tegevussuunad, pärast projektitoetuse taotluse rahuldamise otsuse tegemist PRIA poolt</w:t>
      </w:r>
      <w:r>
        <w:rPr>
          <w:color w:val="000000"/>
        </w:rPr>
        <w:t>.</w:t>
      </w:r>
    </w:p>
    <w:p w14:paraId="0000001D" w14:textId="77777777" w:rsidR="0022471D" w:rsidRDefault="002247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E" w14:textId="77777777" w:rsidR="0022471D" w:rsidRDefault="002247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0000001F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tabs>
          <w:tab w:val="left" w:pos="9112"/>
        </w:tabs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2. Projektitoetuse taotleja nõustamise kord</w:t>
      </w:r>
      <w:r>
        <w:rPr>
          <w:b/>
          <w:color w:val="000000"/>
        </w:rPr>
        <w:tab/>
      </w:r>
    </w:p>
    <w:p w14:paraId="00000020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2.1 </w:t>
      </w:r>
      <w:r>
        <w:rPr>
          <w:b/>
          <w:color w:val="000000"/>
        </w:rPr>
        <w:t>Projektitoetuse taotleja</w:t>
      </w:r>
      <w:r>
        <w:rPr>
          <w:rFonts w:ascii="Times" w:eastAsia="Times" w:hAnsi="Times" w:cs="Times"/>
          <w:color w:val="000000"/>
        </w:rPr>
        <w:t xml:space="preserve"> nõustamine toimub PLPK korraldatavatel </w:t>
      </w:r>
      <w:proofErr w:type="spellStart"/>
      <w:r>
        <w:rPr>
          <w:rFonts w:ascii="Times" w:eastAsia="Times" w:hAnsi="Times" w:cs="Times"/>
          <w:color w:val="000000"/>
        </w:rPr>
        <w:t>Leader</w:t>
      </w:r>
      <w:proofErr w:type="spellEnd"/>
      <w:r>
        <w:rPr>
          <w:rFonts w:ascii="Times" w:eastAsia="Times" w:hAnsi="Times" w:cs="Times"/>
          <w:color w:val="000000"/>
        </w:rPr>
        <w:t xml:space="preserve"> infopäevadel ja PLPK büroos. Taotlejat nõustatakse Taotluse ja maksetaotluse vormistamisega seonduvates küsimustes.</w:t>
      </w:r>
    </w:p>
    <w:p w14:paraId="00000021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2.2 </w:t>
      </w:r>
      <w:r>
        <w:rPr>
          <w:b/>
          <w:color w:val="000000"/>
        </w:rPr>
        <w:t>Projektitoetuse taotleja</w:t>
      </w:r>
      <w:r>
        <w:rPr>
          <w:rFonts w:ascii="Times" w:eastAsia="Times" w:hAnsi="Times" w:cs="Times"/>
          <w:color w:val="000000"/>
        </w:rPr>
        <w:t xml:space="preserve"> nõustamist Taotluse vastuvõtu (Taotlusvooru) ajal ei toimu.</w:t>
      </w:r>
    </w:p>
    <w:p w14:paraId="00000022" w14:textId="77777777" w:rsidR="0022471D" w:rsidRDefault="002247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00000023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3. </w:t>
      </w:r>
      <w:r>
        <w:rPr>
          <w:b/>
          <w:color w:val="000000"/>
        </w:rPr>
        <w:t>PLPK projektitaotluse menetlemisese kord</w:t>
      </w:r>
    </w:p>
    <w:p w14:paraId="00000024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3.1 Piiriülese koostöö ettevalmistava projekti algatamiseks esitab PLPK büroo PLPK juhatusele kinnitamiseks ühiste kavatsuste kokkuleppe, mis sisaldab kavandatavaid tegevusi ja koostööprojekti elluviimise ajakava. </w:t>
      </w:r>
    </w:p>
    <w:p w14:paraId="00000025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3.2 PLPK projektitaotlused sisestatakse PRIA e-teenuse  keskkonda ja esitatakse PLPK juhatusele kinnitamiseks.</w:t>
      </w:r>
    </w:p>
    <w:p w14:paraId="00000026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3.2.1 PLPK juhatuse poolt kinnitatud koostööprojekti ettevalmistav  projekt esitatakse PLPK üldkoosolekule vastu võtmiseks.</w:t>
      </w:r>
    </w:p>
    <w:p w14:paraId="00000027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3.2.2 PLPK esitab PLP</w:t>
      </w:r>
      <w:r>
        <w:rPr>
          <w:color w:val="000000"/>
        </w:rPr>
        <w:t xml:space="preserve">K üldkoosoleku  poolt kinnitatud koostöö ettevalmistava projekti projektitaotluse kahe nädala jooksul </w:t>
      </w:r>
      <w:proofErr w:type="spellStart"/>
      <w:r>
        <w:rPr>
          <w:color w:val="000000"/>
        </w:rPr>
        <w:t>PRIA-le</w:t>
      </w:r>
      <w:proofErr w:type="spellEnd"/>
      <w:r>
        <w:rPr>
          <w:color w:val="000000"/>
        </w:rPr>
        <w:t xml:space="preserve"> PRIA e-teenuse  keskkonna kaudu.</w:t>
      </w:r>
    </w:p>
    <w:p w14:paraId="00000028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3.2.3 PLPK piiriülese koostööprojekti ettevalmistav projekt viiakse ellu enne põhiprojekti esitamist. </w:t>
      </w:r>
    </w:p>
    <w:p w14:paraId="00000029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3.3 Kui ko</w:t>
      </w:r>
      <w:r>
        <w:rPr>
          <w:color w:val="000000"/>
        </w:rPr>
        <w:t xml:space="preserve">ostööprojekti ettevalmistav projekt lõpeb koostöökokkuleppega, millele peavad olema  kinnituse andnud kõik koostööprojektis osalevad osapooled  ja see vastab </w:t>
      </w:r>
      <w:proofErr w:type="spellStart"/>
      <w:r>
        <w:rPr>
          <w:i/>
          <w:color w:val="000000"/>
        </w:rPr>
        <w:t>Leader</w:t>
      </w:r>
      <w:proofErr w:type="spellEnd"/>
      <w:r>
        <w:rPr>
          <w:color w:val="000000"/>
        </w:rPr>
        <w:t xml:space="preserve"> määruse § 29  lõikes 3 toodud nõuetele, siis esitatakse koostöökokkulepe koos koostööprojek</w:t>
      </w:r>
      <w:r>
        <w:rPr>
          <w:color w:val="000000"/>
        </w:rPr>
        <w:t>ti taotlusavaldusega PLPK juhatusele tutvumiseks ja seejärel PLPK üldkoosolekule vastu võtmiseks.</w:t>
      </w:r>
    </w:p>
    <w:p w14:paraId="0000002A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3.3.1 Koostööprojekti taotluse võib esitada </w:t>
      </w:r>
      <w:proofErr w:type="spellStart"/>
      <w:r>
        <w:rPr>
          <w:color w:val="000000"/>
        </w:rPr>
        <w:t>PRIA-le</w:t>
      </w:r>
      <w:proofErr w:type="spellEnd"/>
      <w:r>
        <w:rPr>
          <w:color w:val="000000"/>
        </w:rPr>
        <w:t xml:space="preserve"> pärast koostööprojekti ettevalmistava</w:t>
      </w:r>
    </w:p>
    <w:p w14:paraId="0000002B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projekti elluviimist (viimase makstaotluse </w:t>
      </w:r>
      <w:proofErr w:type="spellStart"/>
      <w:r>
        <w:rPr>
          <w:color w:val="000000"/>
        </w:rPr>
        <w:t>PRIA-le</w:t>
      </w:r>
      <w:proofErr w:type="spellEnd"/>
      <w:r>
        <w:rPr>
          <w:color w:val="000000"/>
        </w:rPr>
        <w:t xml:space="preserve"> esitamist), kui k</w:t>
      </w:r>
      <w:r>
        <w:rPr>
          <w:color w:val="000000"/>
        </w:rPr>
        <w:t xml:space="preserve">oostööprojekti taotleja on taotlenud toetust koostööprojekti ettevalmistamiseks. </w:t>
      </w:r>
    </w:p>
    <w:p w14:paraId="0000002C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3.3.2 Koostööprojekt viiakse ellu maksimaalselt kolme aasta jooksul.</w:t>
      </w:r>
    </w:p>
    <w:p w14:paraId="0000002D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3.4 Kui PLPK projektitaotlus on vastu võetud PLPK üldkoosoleku otsusega, siis PLPK esitab projektitaotlus</w:t>
      </w:r>
      <w:r>
        <w:rPr>
          <w:color w:val="000000"/>
        </w:rPr>
        <w:t xml:space="preserve">e ja  ärakirja PLPK üldkoosoleku otsusest kahe nädala jooksul </w:t>
      </w:r>
      <w:proofErr w:type="spellStart"/>
      <w:r>
        <w:rPr>
          <w:color w:val="000000"/>
        </w:rPr>
        <w:t>PRIA-le</w:t>
      </w:r>
      <w:proofErr w:type="spellEnd"/>
      <w:r>
        <w:rPr>
          <w:color w:val="000000"/>
        </w:rPr>
        <w:t xml:space="preserve"> PRIA e-teenuse  keskkonna kaudu, kusjuures üldkoosoleku otsusest peab nähtuma, et kohaliku tegevusgrupi Taotlus vastab Strateegiale ja Rakenduskavale. </w:t>
      </w:r>
    </w:p>
    <w:p w14:paraId="0000002E" w14:textId="77777777" w:rsidR="0022471D" w:rsidRDefault="002247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F" w14:textId="77777777" w:rsidR="0022471D" w:rsidRDefault="002247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00000030" w14:textId="77777777" w:rsidR="0022471D" w:rsidRDefault="002247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00000031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4. Projektitaotluse PRIA e-teenuse  keskkonna kaudu  vastuvõtmise  ning projektitoetuse taotleja, projektitaotluse ja toetatava tegevuse nõuetele vastavuse kontrollimise kord</w:t>
      </w:r>
    </w:p>
    <w:p w14:paraId="00000032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4.1 Projektitoetuse saamiseks esitas projektitoetuse taotleja PLPK poolt ettenähtud tähtajal elektrooniliselt PRIA e-teenuse keskkonna kaudu toetustaotluse</w:t>
      </w:r>
      <w:r>
        <w:rPr>
          <w:color w:val="FF0000"/>
        </w:rPr>
        <w:t xml:space="preserve"> </w:t>
      </w:r>
      <w:r>
        <w:rPr>
          <w:color w:val="000000"/>
        </w:rPr>
        <w:t>ja selles esitatud andmeid tõendavad dokumendid ( lühendatult Taotluse).</w:t>
      </w:r>
    </w:p>
    <w:p w14:paraId="00000033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4.2 PLPK registreerib kõik </w:t>
      </w:r>
      <w:r>
        <w:rPr>
          <w:color w:val="000000"/>
        </w:rPr>
        <w:t>esitatud Taotlused PLPK elektroonilises dokumendiregistris.</w:t>
      </w:r>
    </w:p>
    <w:p w14:paraId="00000034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4.3 PLPK </w:t>
      </w:r>
      <w:proofErr w:type="spellStart"/>
      <w:r>
        <w:rPr>
          <w:color w:val="000000"/>
        </w:rPr>
        <w:t>menetleja</w:t>
      </w:r>
      <w:proofErr w:type="spellEnd"/>
      <w:r>
        <w:rPr>
          <w:color w:val="000000"/>
        </w:rPr>
        <w:t xml:space="preserve">  kontrollib:</w:t>
      </w:r>
    </w:p>
    <w:p w14:paraId="00000035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4.3.1 Taotluse vastuvõtmisel nõutavate dokumentide olemasolu.</w:t>
      </w:r>
    </w:p>
    <w:p w14:paraId="00000036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4.3.2 Taotleja, Taotluse ja toetatava tegevuse vastavust Strateegiale ja Rakenduskavale, sealhulgas </w:t>
      </w:r>
    </w:p>
    <w:p w14:paraId="00000037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</w:t>
      </w:r>
      <w:r>
        <w:rPr>
          <w:color w:val="000000"/>
        </w:rPr>
        <w:t>akenduskava meetmes esitatud nõuetele.</w:t>
      </w:r>
    </w:p>
    <w:p w14:paraId="00000038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4.4 Kui koos Taotlusega ei ole esitatud kõiki PLPK poolt nõutavaid dokumente või kui esitatud dokumendis puuduvad Taotluse hindamiseks vajalikud andmed, nõuab PLPK Taotlejalt vajalike andmete ja dokumentide esitamist </w:t>
      </w:r>
      <w:r>
        <w:rPr>
          <w:color w:val="000000"/>
        </w:rPr>
        <w:t xml:space="preserve">hiljemalt 12 tööpäeva jooksul alates PLPK taotlusvooru </w:t>
      </w:r>
      <w:r>
        <w:t>lõpust</w:t>
      </w:r>
      <w:r>
        <w:rPr>
          <w:color w:val="000000"/>
        </w:rPr>
        <w:t xml:space="preserve">. 4.4.1 Taotleja esitab muudatustaotluse puuduste kõrvaldamiseks ja dokumentide lisamiseks PRIA </w:t>
      </w:r>
    </w:p>
    <w:p w14:paraId="00000039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e-keskkonnas.</w:t>
      </w:r>
    </w:p>
    <w:p w14:paraId="0000003A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4.4.2 Taotlejal on PRIA e-keskkonnas PLPK järelepärimisele  vastamiseks aega  näidat</w:t>
      </w:r>
      <w:r>
        <w:rPr>
          <w:color w:val="000000"/>
        </w:rPr>
        <w:t>ud tähtajani (kuid mitte vähem kui 3 tööpäeva).</w:t>
      </w:r>
    </w:p>
    <w:p w14:paraId="0000003B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4.4.3 PLPK registreerib Taotluste kohta esitatud  järelepärimised  PLPK elektroonilises dokumendiregistris.</w:t>
      </w:r>
    </w:p>
    <w:p w14:paraId="0000003C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4.5 Toetustaotlus</w:t>
      </w:r>
      <w:r>
        <w:rPr>
          <w:color w:val="FF0000"/>
        </w:rPr>
        <w:t xml:space="preserve"> </w:t>
      </w:r>
      <w:r>
        <w:rPr>
          <w:color w:val="000000"/>
        </w:rPr>
        <w:t>ja sellele lisaks esitatud dokumendid on avaliku teabe seaduses ja isikuandmete ka</w:t>
      </w:r>
      <w:r>
        <w:rPr>
          <w:color w:val="000000"/>
        </w:rPr>
        <w:t>itse seaduses sätestatud alustel  PLPK siseseks kasutamiseks.</w:t>
      </w:r>
    </w:p>
    <w:p w14:paraId="0000003D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00"/>
          <w:sz w:val="22"/>
          <w:szCs w:val="22"/>
        </w:rPr>
        <w:t xml:space="preserve">                                                       </w:t>
      </w:r>
    </w:p>
    <w:p w14:paraId="0000003E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5. PLPK hindamiskomisjoni moodustamise  kord ja hindamiskomisjoni kodukord</w:t>
      </w:r>
    </w:p>
    <w:p w14:paraId="0000003F" w14:textId="77777777" w:rsidR="0022471D" w:rsidRDefault="002247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40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5.1. Hindamiskomisjoni moodustamise kord</w:t>
      </w:r>
    </w:p>
    <w:p w14:paraId="00000041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5.1.1 Hindamiskomisjoni koosseisus on kuni 9 liiget. </w:t>
      </w:r>
    </w:p>
    <w:p w14:paraId="00000042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5.1.2 Komisjoni koosseisu valib PLPK juhatus. Komisjoni liikmete valimisel  arvestatakse komisjoni liikmete esindatust nii, et kohalike omavalitsusüksuste esindajate ja riigi või kohaliku omavalitsusüksuse osalusega eraõiguslike juriidiliste isikute esinda</w:t>
      </w:r>
      <w:r>
        <w:rPr>
          <w:color w:val="000000"/>
        </w:rPr>
        <w:t>tus komisjonis on alla 50% ja iga huvirühma liikmete hääleõiguse esindatus otsustamisel ei ole üle 49%. Iga liikmes omavalitsuse territooriumilt valitakse üks komisjoni liige. Kolm hindamiskomisjoni liiget valitakse väljaspool ühingu tegevuspiirkonda. Komi</w:t>
      </w:r>
      <w:r>
        <w:rPr>
          <w:color w:val="000000"/>
        </w:rPr>
        <w:t xml:space="preserve">sjoni liikmed ei tohi olla PLPK juhatuse liikmed ega büroo töötajad. </w:t>
      </w:r>
    </w:p>
    <w:p w14:paraId="00000043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jc w:val="both"/>
        <w:rPr>
          <w:color w:val="000000"/>
        </w:rPr>
      </w:pPr>
      <w:r>
        <w:rPr>
          <w:color w:val="000000"/>
        </w:rPr>
        <w:t>5.1.3 Komisjon valitakse kolmeks aastaks. Komisjoni liikmetest kolmandik vahetub kolme aasta jooksul arvates  nende liikmete valimisest. Komisjoni liige ei või kuuluda komisjoni üle kahe</w:t>
      </w:r>
      <w:r>
        <w:rPr>
          <w:color w:val="000000"/>
        </w:rPr>
        <w:t xml:space="preserve"> koosseisu (kuni 6 aastat).</w:t>
      </w:r>
    </w:p>
    <w:p w14:paraId="00000044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5.1.4 PLPK korraldab komisjoni liikmetele koolitusi.</w:t>
      </w:r>
    </w:p>
    <w:p w14:paraId="00000045" w14:textId="77777777" w:rsidR="0022471D" w:rsidRDefault="002247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46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5.2 Hindamiskomisjoni kodukord</w:t>
      </w:r>
    </w:p>
    <w:p w14:paraId="00000047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jc w:val="both"/>
        <w:rPr>
          <w:color w:val="000000"/>
        </w:rPr>
      </w:pPr>
      <w:r>
        <w:rPr>
          <w:color w:val="000000"/>
        </w:rPr>
        <w:t>5.2.1 Komisjoni liikmed valivad endi seast Komisjoni esimehe ja aseesimehe.</w:t>
      </w:r>
    </w:p>
    <w:p w14:paraId="00000048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jc w:val="both"/>
        <w:rPr>
          <w:color w:val="000000"/>
        </w:rPr>
      </w:pPr>
      <w:r>
        <w:rPr>
          <w:color w:val="000000"/>
        </w:rPr>
        <w:t>5.2.2 Komisjoni tööd juhib esimees, tema äraolekul aseesimees.</w:t>
      </w:r>
    </w:p>
    <w:p w14:paraId="00000049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jc w:val="both"/>
        <w:rPr>
          <w:color w:val="000000"/>
        </w:rPr>
      </w:pPr>
      <w:r>
        <w:rPr>
          <w:color w:val="000000"/>
        </w:rPr>
        <w:t>5.2.</w:t>
      </w:r>
      <w:r>
        <w:rPr>
          <w:color w:val="000000"/>
        </w:rPr>
        <w:t>3 Komisjoni töövorm on komisjoni kinnine istung, mille valmistab ette ja kutsub kokku Komisjoni esimees või tema äraolekul aseesimees.</w:t>
      </w:r>
    </w:p>
    <w:p w14:paraId="0000004A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jc w:val="both"/>
        <w:rPr>
          <w:color w:val="000000"/>
        </w:rPr>
      </w:pPr>
      <w:r>
        <w:rPr>
          <w:color w:val="000000"/>
        </w:rPr>
        <w:t>5.2.4 Komisjoni liikmetele tagatakse volitusega PRIA e-keskkonnas Taotlustega tutvumise võimalus tähtajaga kuni komisjoni</w:t>
      </w:r>
      <w:r>
        <w:rPr>
          <w:color w:val="000000"/>
        </w:rPr>
        <w:t xml:space="preserve"> poolt koostatud Taotluste paremusjärjestuse ettepaneku kinnitamiseni PLPK juhatuse poolt.</w:t>
      </w:r>
    </w:p>
    <w:p w14:paraId="0000004B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jc w:val="both"/>
        <w:rPr>
          <w:color w:val="000000"/>
        </w:rPr>
      </w:pPr>
      <w:r>
        <w:rPr>
          <w:color w:val="000000"/>
        </w:rPr>
        <w:t>5.2.5 Komisjoni esimees kutsub peale kõigile Komisjoni liikmetele volitusega PRIA e-keskkonnas Projektitaotlustega tutvumise võimaluse tekkimisest 5 tööpäevase ettet</w:t>
      </w:r>
      <w:r>
        <w:rPr>
          <w:color w:val="000000"/>
        </w:rPr>
        <w:t xml:space="preserve">eatamisega kokku Komisjoni istungi. </w:t>
      </w:r>
    </w:p>
    <w:p w14:paraId="0000004C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5.2.6 Taotlust peab hindama vähemalt 2/3 Komisjoni liikmetest. </w:t>
      </w:r>
    </w:p>
    <w:p w14:paraId="0000004D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jc w:val="both"/>
        <w:rPr>
          <w:color w:val="000000"/>
        </w:rPr>
      </w:pPr>
      <w:r>
        <w:rPr>
          <w:color w:val="000000"/>
        </w:rPr>
        <w:t>5.2.7 Komisjoni liikmetel on kohustus tagada Taotluste hindamise käigus saadud informatsiooni  konfidentsiaalsus. Esitatud Taotlusi ja nendes esitatud idei</w:t>
      </w:r>
      <w:r>
        <w:rPr>
          <w:color w:val="000000"/>
        </w:rPr>
        <w:t>d on keelatud levitada kolmandatele isikutele.</w:t>
      </w:r>
    </w:p>
    <w:p w14:paraId="0000004E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after="120" w:line="256" w:lineRule="auto"/>
        <w:ind w:left="0" w:hanging="2"/>
        <w:jc w:val="both"/>
        <w:rPr>
          <w:color w:val="000000"/>
        </w:rPr>
      </w:pPr>
      <w:r>
        <w:rPr>
          <w:color w:val="000000"/>
        </w:rPr>
        <w:t>5.2.8 Komisjoni liige võib teha Komisjoni esimehele ettepaneku Komisjoni istungi kokkukutsumiseks.</w:t>
      </w:r>
    </w:p>
    <w:p w14:paraId="0000004F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5.2.9 Komisjon võib teha juhatusele ettepaneku kaasata Taotluste hindamiseks eksperte. Eksperthinnang on PLPK sisese kasutuspiiranguga ja seda ei väljastata Taotlejale.</w:t>
      </w:r>
    </w:p>
    <w:p w14:paraId="00000050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jc w:val="both"/>
        <w:rPr>
          <w:color w:val="000000"/>
        </w:rPr>
      </w:pPr>
      <w:r>
        <w:rPr>
          <w:color w:val="000000"/>
        </w:rPr>
        <w:t>5.2.10 Komisjoni liikme tööga seotud kulud hüvitatakse. Hüvitamise  määra kinnitab PLPK</w:t>
      </w:r>
      <w:r>
        <w:rPr>
          <w:color w:val="000000"/>
        </w:rPr>
        <w:t xml:space="preserve"> juhatus.</w:t>
      </w:r>
    </w:p>
    <w:p w14:paraId="00000051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5.2.11 Komisjoni töö tehnilise teenindamise tagab PLPK tegevjuht. </w:t>
      </w:r>
    </w:p>
    <w:p w14:paraId="00000052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after="120" w:line="25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5.2.12 Komisjon jätab hindamata PLPK poolt esitatud Taotluse. </w:t>
      </w:r>
    </w:p>
    <w:p w14:paraId="00000053" w14:textId="77777777" w:rsidR="0022471D" w:rsidRDefault="002247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54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6. Projektitaotluste hindamise ja paremusjärjestuse koostamise kord  </w:t>
      </w:r>
    </w:p>
    <w:p w14:paraId="00000055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6.1 Komisjoni liikmed hindavad PRIA e-keskkon</w:t>
      </w:r>
      <w:r>
        <w:rPr>
          <w:color w:val="000000"/>
        </w:rPr>
        <w:t xml:space="preserve">nas hindamiskriteeriumite alusel Taotluses esitatud toetatava tegevuse vastavust </w:t>
      </w:r>
      <w:proofErr w:type="spellStart"/>
      <w:r>
        <w:rPr>
          <w:rFonts w:ascii="Times" w:eastAsia="Times" w:hAnsi="Times" w:cs="Times"/>
          <w:i/>
          <w:color w:val="000000"/>
        </w:rPr>
        <w:t>Leader</w:t>
      </w:r>
      <w:proofErr w:type="spellEnd"/>
      <w:r>
        <w:rPr>
          <w:rFonts w:ascii="Times" w:eastAsia="Times" w:hAnsi="Times" w:cs="Times"/>
          <w:color w:val="000000"/>
        </w:rPr>
        <w:t xml:space="preserve"> määrusele</w:t>
      </w:r>
      <w:r>
        <w:rPr>
          <w:color w:val="000000"/>
        </w:rPr>
        <w:t>, Strateegiale ja Rakenduskavale</w:t>
      </w:r>
      <w:r>
        <w:rPr>
          <w:rFonts w:ascii="Times" w:eastAsia="Times" w:hAnsi="Times" w:cs="Times"/>
          <w:color w:val="000000"/>
        </w:rPr>
        <w:t>.</w:t>
      </w:r>
    </w:p>
    <w:p w14:paraId="00000056" w14:textId="77777777" w:rsidR="0022471D" w:rsidRDefault="004113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Komisjon võib vajadusel tutvuda Taotluses planeeritava investeeringuga Taotleja juures kohapeal. </w:t>
      </w:r>
    </w:p>
    <w:p w14:paraId="00000057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Komisjoni istungil toimub komisjoni liikmete vahel arutelu. Saadud  informatsioonist lähtuvalt Komisjoni liige hindab kaalutletult Taotlust lähtuvalt hindamis</w:t>
      </w:r>
      <w:r>
        <w:rPr>
          <w:color w:val="000000"/>
        </w:rPr>
        <w:t>kriteeriumitest. Hindamiseks tuleb avada PRIA e-keskkonnas taotluse hindamisleht. Hindamislehel tuleb igat taotlust hinnata eraldi hindamiskriteeriumite kaupa, andes igale kriteeriumile hindepunkt ning  lisada ka märkuse lahtrisse põhjendus, miks just sell</w:t>
      </w:r>
      <w:r>
        <w:rPr>
          <w:color w:val="000000"/>
        </w:rPr>
        <w:t>ise hindepunktiga hinnati.</w:t>
      </w:r>
    </w:p>
    <w:p w14:paraId="00000058" w14:textId="77777777" w:rsidR="0022471D" w:rsidRDefault="004113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Kui  Taotlus ei vasta Strateegias või Rakenduskavas esitatud nõuetele, saab Taotlus esimeses</w:t>
      </w:r>
    </w:p>
    <w:p w14:paraId="00000059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hindamiskriteeriumis 0 hindepunkti ja seejärel Taotlust edasi ei hinnata.</w:t>
      </w:r>
    </w:p>
    <w:p w14:paraId="0000005A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6.4 Taotluste paremusjärjestuse moodustamisel loetakse paremak</w:t>
      </w:r>
      <w:r>
        <w:rPr>
          <w:color w:val="000000"/>
        </w:rPr>
        <w:t>s suurema Taotluse koondhindepunkti saanud Taotlus. Võrdsete Taotluse koondhindepunktide korral eelistatakse: 1) suurema omaosalusega Taotlust; 2) esmataotlejat; 3) loosi alusel.</w:t>
      </w:r>
    </w:p>
    <w:p w14:paraId="0000005B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6.5 Taotluse rahastamiseks peab Taotluse koondhindepunkt olema vähemalt 40 hi</w:t>
      </w:r>
      <w:r>
        <w:rPr>
          <w:color w:val="000000"/>
        </w:rPr>
        <w:t>ndepunkti hindamiskriteeriumite maksimaalsetest hindepunktidest.</w:t>
      </w:r>
    </w:p>
    <w:p w14:paraId="0000005C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6.6 Hindamistulemused saab kinnitada siis, kui kõik hindajad on oma taotlused ära hinnanud. Peale hindamistulemuste kinnitamist moodustub paremusjärjestus.</w:t>
      </w:r>
    </w:p>
    <w:p w14:paraId="0000005D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Taotluste paremusjärjestuse ettepan</w:t>
      </w:r>
      <w:r>
        <w:rPr>
          <w:color w:val="000000"/>
        </w:rPr>
        <w:t xml:space="preserve">ek koostatakse 20 tööpäeva jooksul peale kõigile Komisjoni liikmetele volitusega PRIA e-keskkonnas Projektitaotlustega tutvumise võimaluse tekkimist. </w:t>
      </w:r>
    </w:p>
    <w:p w14:paraId="0000005E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6.7 Kui hindamistulemuste alusel paremusjärjestusse seatud nõuetele vastavat Taotlust ei ole võimalik täi</w:t>
      </w:r>
      <w:r>
        <w:rPr>
          <w:color w:val="000000"/>
        </w:rPr>
        <w:t xml:space="preserve">es ulatuses rahuldada, sest taotletava toetuse suurus ületab rakenduskavas nimetatud meetmes toetuseks ettenähtud vahendite jäägi, võib hindamiskomisjoni esimees teha Taotlejale kirjaliku ettepaneku Taotluse osaliseks rahuldamiseks tingimusel, et Taotluse </w:t>
      </w:r>
      <w:r>
        <w:rPr>
          <w:color w:val="000000"/>
        </w:rPr>
        <w:t>sisu ei muudeta, Taotlus viiakse osalise toetuse abil ellu ja Taotluse põhieesmärk  täidetakse.</w:t>
      </w:r>
    </w:p>
    <w:p w14:paraId="0000005F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6.8 Taotleja peab hindamiskomisjoni esimehe ettepanekule vastama allkirjastatud kirjaga 3 tööpäeva jooksul.</w:t>
      </w:r>
    </w:p>
    <w:p w14:paraId="00000060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6.9  Juhatus kinnitab Taotluste paremusjärjestuse.  </w:t>
      </w:r>
    </w:p>
    <w:p w14:paraId="00000061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6.10 PLPK üldkoosoleku otsusega kinnitatakse tegevusgrupi ja kogukonnateenuste  projektid. PLPK üldkoosoleku otsus edastatakse </w:t>
      </w:r>
      <w:proofErr w:type="spellStart"/>
      <w:r>
        <w:rPr>
          <w:color w:val="000000"/>
        </w:rPr>
        <w:t>PRIA-le</w:t>
      </w:r>
      <w:proofErr w:type="spellEnd"/>
      <w:r>
        <w:rPr>
          <w:color w:val="000000"/>
        </w:rPr>
        <w:t xml:space="preserve">  20 tööpäeva jooksul.</w:t>
      </w:r>
    </w:p>
    <w:p w14:paraId="00000062" w14:textId="77777777" w:rsidR="0022471D" w:rsidRDefault="002247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63" w14:textId="77777777" w:rsidR="0022471D" w:rsidRDefault="002247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64" w14:textId="77777777" w:rsidR="0022471D" w:rsidRDefault="002247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65" w14:textId="77777777" w:rsidR="0022471D" w:rsidRDefault="002247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66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7. Projektitaotluste menetlemisel hindamiskomisjoni ja juhatuse liikme taandamise  kord</w:t>
      </w:r>
    </w:p>
    <w:p w14:paraId="00000067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7.1 Hindamiskomisjoni esimees tagab, et Komisjoni liige ja Taotluse esitanud isik ei ole HMS § 10 </w:t>
      </w:r>
    </w:p>
    <w:p w14:paraId="00000068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highlight w:val="yellow"/>
        </w:rPr>
      </w:pPr>
      <w:r>
        <w:rPr>
          <w:color w:val="000000"/>
        </w:rPr>
        <w:t>lõike 1 tähenduses Taotlusega seotud isikud. Nimetatud seotuse olemas</w:t>
      </w:r>
      <w:r>
        <w:rPr>
          <w:color w:val="000000"/>
        </w:rPr>
        <w:t>olu korral Komisjoni liige taandab ennast PRIA e-keskkonnas. Komisjoni liige taandab ennast selle liikmes omavalitsuse territooriumilt esitatud taotluste hindamisel, mida ta esindab.</w:t>
      </w:r>
    </w:p>
    <w:p w14:paraId="00000069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7.2 Komisjoni liige teavitab viivitamata Komisjoni esimeest oma seotusest</w:t>
      </w:r>
      <w:r>
        <w:rPr>
          <w:color w:val="000000"/>
        </w:rPr>
        <w:t>.</w:t>
      </w:r>
    </w:p>
    <w:p w14:paraId="0000006A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7.3 Taandamise algatajaks võib olla ka teine menetlusosaline.</w:t>
      </w:r>
    </w:p>
    <w:p w14:paraId="0000006B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7.4 Isikut ei taandata, kui teda ei ole võimalik asendada.</w:t>
      </w:r>
    </w:p>
    <w:p w14:paraId="0000006C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7.5 Juhatuse liige ei või osaleda hääletamises, kui otsustatakse temaga või temaga võrdset majanduslikku huvi omava isikuga tehingu t</w:t>
      </w:r>
      <w:r>
        <w:rPr>
          <w:color w:val="000000"/>
        </w:rPr>
        <w:t xml:space="preserve">egemist. Juhatuse liige on kohustatud end taandama </w:t>
      </w:r>
    </w:p>
    <w:p w14:paraId="0000006D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Haldusmenetluse seaduse § 10 sätestatud juhtudel.</w:t>
      </w:r>
    </w:p>
    <w:p w14:paraId="0000006E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7.6 Juhatuse istungil suuliselt teavitatud taandamised protokollitakse isikuliselt.</w:t>
      </w:r>
    </w:p>
    <w:p w14:paraId="0000006F" w14:textId="77777777" w:rsidR="0022471D" w:rsidRDefault="002247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</w:p>
    <w:p w14:paraId="00000070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8. Seireandmete ja teabe kogumise kord.</w:t>
      </w:r>
    </w:p>
    <w:p w14:paraId="00000071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8.1 Lõpliku  maksetaotlusega koos esitab Toetuse saaja projekti tegevuste või tehtud investeeringu kohta järgmised andmed:</w:t>
      </w:r>
    </w:p>
    <w:p w14:paraId="00000072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8.1.1 PLPK rakenduskava meetmelehe real 10. Strateegia meetme indikaatorid ja sihttasemed nõu</w:t>
      </w:r>
      <w:r>
        <w:rPr>
          <w:color w:val="000000"/>
        </w:rPr>
        <w:t xml:space="preserve">tud seireandmed; </w:t>
      </w:r>
    </w:p>
    <w:p w14:paraId="00000073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8.1.2 Projekti eesmärkide täitmise kokkuvõtte 500-1000 tähemärki;</w:t>
      </w:r>
    </w:p>
    <w:p w14:paraId="00000074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8.1.3 Tegevustest või/ja investeeringust tehtud </w:t>
      </w:r>
      <w:r>
        <w:t>trükikõlbulik</w:t>
      </w:r>
      <w:r>
        <w:rPr>
          <w:color w:val="000000"/>
        </w:rPr>
        <w:t xml:space="preserve"> foto mahuga 2-4 MB.   </w:t>
      </w:r>
    </w:p>
    <w:p w14:paraId="00000075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8.2 PLPK avalikustab meetme rahastamise eelarve piires komisjoni poolt</w:t>
      </w:r>
      <w:r>
        <w:rPr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 xml:space="preserve">heakskiidetud Taotluste nimekirja (taotleja nimi, Taotluse nimetus, määratud toetuse suurus) veebilehel </w:t>
      </w:r>
      <w:hyperlink r:id="rId10">
        <w:r>
          <w:rPr>
            <w:rFonts w:ascii="Times" w:eastAsia="Times" w:hAnsi="Times" w:cs="Times"/>
            <w:color w:val="000000"/>
            <w:u w:val="single"/>
          </w:rPr>
          <w:t>www.plp.ee</w:t>
        </w:r>
      </w:hyperlink>
      <w:r>
        <w:rPr>
          <w:rFonts w:ascii="Times" w:eastAsia="Times" w:hAnsi="Times" w:cs="Times"/>
          <w:color w:val="000000"/>
        </w:rPr>
        <w:t>.</w:t>
      </w:r>
    </w:p>
    <w:p w14:paraId="00000076" w14:textId="77777777" w:rsidR="0022471D" w:rsidRDefault="00411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8.3 PLPK esitab iga aasta 15. mä</w:t>
      </w:r>
      <w:r>
        <w:rPr>
          <w:color w:val="000000"/>
        </w:rPr>
        <w:t>rtsiks Maaeluministeeriumile seireandmed eelmise kalendriaasta kohta.</w:t>
      </w:r>
    </w:p>
    <w:p w14:paraId="00000077" w14:textId="77777777" w:rsidR="0022471D" w:rsidRDefault="0022471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78" w14:textId="77777777" w:rsidR="0022471D" w:rsidRDefault="0022471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79" w14:textId="77777777" w:rsidR="0022471D" w:rsidRDefault="002247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sectPr w:rsidR="0022471D">
      <w:pgSz w:w="12240" w:h="15840"/>
      <w:pgMar w:top="851" w:right="1077" w:bottom="1440" w:left="107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7682"/>
    <w:multiLevelType w:val="multilevel"/>
    <w:tmpl w:val="3D6E310E"/>
    <w:lvl w:ilvl="0">
      <w:start w:val="1"/>
      <w:numFmt w:val="decimal"/>
      <w:pStyle w:val="Pealkiri1"/>
      <w:lvlText w:val="%1"/>
      <w:lvlJc w:val="left"/>
      <w:pPr>
        <w:ind w:left="360" w:hanging="360"/>
      </w:pPr>
      <w:rPr>
        <w:vertAlign w:val="baseline"/>
      </w:rPr>
    </w:lvl>
    <w:lvl w:ilvl="1">
      <w:start w:val="5"/>
      <w:numFmt w:val="decimal"/>
      <w:pStyle w:val="Pealkiri2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E535974"/>
    <w:multiLevelType w:val="multilevel"/>
    <w:tmpl w:val="1458C616"/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71D"/>
    <w:rsid w:val="0022471D"/>
    <w:rsid w:val="0041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114AA-5940-453B-8E5E-6C892C83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Pealkiri1">
    <w:name w:val="heading 1"/>
    <w:basedOn w:val="Normaallaad"/>
    <w:next w:val="Kehatekst"/>
    <w:uiPriority w:val="9"/>
    <w:qFormat/>
    <w:pPr>
      <w:numPr>
        <w:numId w:val="1"/>
      </w:numPr>
      <w:spacing w:before="280" w:after="280"/>
      <w:ind w:left="-1" w:hanging="1"/>
    </w:pPr>
    <w:rPr>
      <w:b/>
      <w:bCs/>
      <w:kern w:val="1"/>
      <w:sz w:val="48"/>
      <w:szCs w:val="48"/>
      <w:lang w:val="en-US"/>
    </w:rPr>
  </w:style>
  <w:style w:type="paragraph" w:styleId="Pealkiri2">
    <w:name w:val="heading 2"/>
    <w:basedOn w:val="Heading"/>
    <w:next w:val="Kehatekst"/>
    <w:uiPriority w:val="9"/>
    <w:semiHidden/>
    <w:unhideWhenUsed/>
    <w:qFormat/>
    <w:pPr>
      <w:numPr>
        <w:ilvl w:val="1"/>
        <w:numId w:val="1"/>
      </w:numPr>
      <w:ind w:left="-1" w:hanging="1"/>
      <w:outlineLvl w:val="1"/>
    </w:pPr>
    <w:rPr>
      <w:b/>
      <w:bCs/>
      <w:i/>
      <w:iCs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guvaikefont4">
    <w:name w:val="Lõigu vaikefont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OpenSymbol" w:hAnsi="OpenSymbol"/>
      <w:w w:val="100"/>
      <w:position w:val="-1"/>
      <w:effect w:val="none"/>
      <w:vertAlign w:val="baseline"/>
      <w:cs w:val="0"/>
      <w:em w:val="none"/>
    </w:rPr>
  </w:style>
  <w:style w:type="character" w:customStyle="1" w:styleId="Liguvaikefont3">
    <w:name w:val="Lõigu vaikefont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Times New Roman" w:eastAsia="Times New Roman" w:hAnsi="Times New Roman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Liguvaikefont2">
    <w:name w:val="Lõigu vaikefont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Liguvaikefont">
    <w:name w:val="WW-Lõigu vaike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 2" w:hAnsi="Wingdings 2"/>
      <w:color w:val="auto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eastAsia="Times New Roman" w:hAnsi="Times New Roman" w:cs="Calibri"/>
      <w:color w:val="auto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OpenSymbol" w:hAnsi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">
    <w:name w:val="WW-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guvaikefont1">
    <w:name w:val="Lõigu vaike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styleId="H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customStyle="1" w:styleId="WW8Num14z0">
    <w:name w:val="WW8Num1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t-E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t-E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t-EE"/>
    </w:rPr>
  </w:style>
  <w:style w:type="character" w:customStyle="1" w:styleId="SisutekstKursiiv">
    <w:name w:val="Sisutekst + Kursiiv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et-EE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</w:style>
  <w:style w:type="paragraph" w:customStyle="1" w:styleId="Caption1">
    <w:name w:val="Caption1"/>
    <w:basedOn w:val="Normaalla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laad"/>
    <w:pPr>
      <w:suppressLineNumbers/>
    </w:pPr>
  </w:style>
  <w:style w:type="paragraph" w:customStyle="1" w:styleId="Pealdis2">
    <w:name w:val="Pealdis2"/>
    <w:basedOn w:val="Normaallaad"/>
    <w:pPr>
      <w:suppressLineNumbers/>
      <w:spacing w:before="120" w:after="120"/>
    </w:pPr>
    <w:rPr>
      <w:i/>
      <w:iCs/>
    </w:rPr>
  </w:style>
  <w:style w:type="paragraph" w:customStyle="1" w:styleId="Pealdis1">
    <w:name w:val="Pealdis1"/>
    <w:basedOn w:val="Normaallaad"/>
    <w:pPr>
      <w:suppressLineNumbers/>
      <w:spacing w:before="120" w:after="120"/>
    </w:pPr>
    <w:rPr>
      <w:i/>
      <w:iCs/>
    </w:rPr>
  </w:style>
  <w:style w:type="paragraph" w:customStyle="1" w:styleId="Loendilik1">
    <w:name w:val="Loendi lõik1"/>
    <w:basedOn w:val="Normaallaad"/>
    <w:pPr>
      <w:ind w:left="720" w:firstLine="0"/>
    </w:p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aallaadveeb1">
    <w:name w:val="Normaallaad (veeb)1"/>
    <w:basedOn w:val="Normaallaad"/>
    <w:pPr>
      <w:suppressAutoHyphens/>
      <w:spacing w:before="280" w:after="280"/>
    </w:pPr>
    <w:rPr>
      <w:color w:val="000000"/>
    </w:rPr>
  </w:style>
  <w:style w:type="paragraph" w:styleId="Pis">
    <w:name w:val="header"/>
    <w:basedOn w:val="Normaallaad"/>
    <w:pPr>
      <w:tabs>
        <w:tab w:val="center" w:pos="4536"/>
        <w:tab w:val="right" w:pos="9072"/>
      </w:tabs>
      <w:textAlignment w:val="baseline"/>
    </w:pPr>
    <w:rPr>
      <w:rFonts w:ascii="Calibri" w:eastAsia="Calibri" w:hAnsi="Calibri"/>
      <w:sz w:val="22"/>
      <w:szCs w:val="22"/>
    </w:rPr>
  </w:style>
  <w:style w:type="paragraph" w:styleId="Jalus">
    <w:name w:val="footer"/>
    <w:basedOn w:val="Normaallaad"/>
    <w:pPr>
      <w:tabs>
        <w:tab w:val="center" w:pos="4536"/>
        <w:tab w:val="right" w:pos="9072"/>
      </w:tabs>
      <w:suppressAutoHyphens/>
    </w:pPr>
  </w:style>
  <w:style w:type="paragraph" w:customStyle="1" w:styleId="Jutumullitekst1">
    <w:name w:val="Jutumullitekst1"/>
    <w:basedOn w:val="Normaallaad"/>
    <w:pPr>
      <w:suppressAutoHyphens/>
    </w:pPr>
    <w:rPr>
      <w:rFonts w:ascii="Tahoma" w:hAnsi="Tahoma" w:cs="Tahoma"/>
      <w:sz w:val="16"/>
      <w:szCs w:val="16"/>
    </w:rPr>
  </w:style>
  <w:style w:type="paragraph" w:customStyle="1" w:styleId="Sisutekst">
    <w:name w:val="Sisutekst"/>
    <w:basedOn w:val="Normaallaad"/>
    <w:pPr>
      <w:widowControl w:val="0"/>
      <w:shd w:val="clear" w:color="auto" w:fill="FFFFFF"/>
      <w:spacing w:before="600" w:after="780" w:line="0" w:lineRule="atLeast"/>
    </w:pPr>
    <w:rPr>
      <w:sz w:val="23"/>
      <w:szCs w:val="23"/>
    </w:rPr>
  </w:style>
  <w:style w:type="paragraph" w:styleId="Jutumullitekst">
    <w:name w:val="Balloon Text"/>
    <w:basedOn w:val="Normaallaad"/>
    <w:qFormat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Loendilik">
    <w:name w:val="List Paragraph"/>
    <w:basedOn w:val="Normaallaad"/>
    <w:pPr>
      <w:suppressAutoHyphens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oendilikMrk">
    <w:name w:val="Loendi lõik Mär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p.e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p.e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p.e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p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p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moRITwMC6L5QgKomc/I8IaARcg==">AMUW2mWEtWCqJ80G0Ye7Gyk1mZ9AXuiQjHjcyyYtp9gJeMOydv4bA9J7Wamy12ceep8J8eSIm2akkQqoHTeRCVTkby/c90XK/n6chUGJCoNfGXCpM0RNhA1vu5NI7zlezNkbv7Bn07YYmL4SD3Dbhhb4Na/bJMqR+tm23Opn64j1ShP7/M3J2E6+h/3P651v1Nw5FSiDgAKfBkTWsJ78bs77QXi/n5kHP8gaCtr3HTmpCkNn9MhMscn+cEPZtFIkv/CwQYhwQmViviI7NohP5G5evJs9dzwaIXk9Xz4t14t+n/alCKaxl9gtkXlkMFOX2YYA8jhE74TNHLOh+xPxfYm6XlQQeNgWMSk+xg53p2xDwFAOEqm/JXDo6EMqZ0WNs/FGmyNH587B1Pq1vXOzCHvQeqO1Jwv+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2135</Words>
  <Characters>12383</Characters>
  <Application>Microsoft Office Word</Application>
  <DocSecurity>0</DocSecurity>
  <Lines>103</Lines>
  <Paragraphs>28</Paragraphs>
  <ScaleCrop>false</ScaleCrop>
  <Company/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PLPK</dc:creator>
  <cp:lastModifiedBy>mercedes merimaa</cp:lastModifiedBy>
  <cp:revision>2</cp:revision>
  <dcterms:created xsi:type="dcterms:W3CDTF">2021-10-13T08:26:00Z</dcterms:created>
  <dcterms:modified xsi:type="dcterms:W3CDTF">2021-10-13T08:26:00Z</dcterms:modified>
</cp:coreProperties>
</file>