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C9" w:rsidRDefault="008979C9" w:rsidP="00F42169">
      <w:pPr>
        <w:pStyle w:val="NormalWeb"/>
        <w:jc w:val="right"/>
        <w:rPr>
          <w:sz w:val="20"/>
          <w:szCs w:val="20"/>
          <w:lang w:val="et-EE"/>
        </w:rPr>
      </w:pPr>
      <w:r w:rsidRPr="008979C9">
        <w:rPr>
          <w:sz w:val="20"/>
          <w:szCs w:val="20"/>
          <w:lang w:val="et-EE"/>
        </w:rPr>
        <w:t>Maaelu</w:t>
      </w:r>
      <w:r>
        <w:rPr>
          <w:sz w:val="20"/>
          <w:szCs w:val="20"/>
          <w:lang w:val="et-EE"/>
        </w:rPr>
        <w:t>ministri 00.00.</w:t>
      </w:r>
      <w:r w:rsidRPr="008979C9">
        <w:rPr>
          <w:sz w:val="20"/>
          <w:szCs w:val="20"/>
          <w:lang w:val="et-EE"/>
        </w:rPr>
        <w:t>2015</w:t>
      </w:r>
      <w:r>
        <w:rPr>
          <w:sz w:val="20"/>
          <w:szCs w:val="20"/>
          <w:lang w:val="et-EE"/>
        </w:rPr>
        <w:t xml:space="preserve"> määrus</w:t>
      </w:r>
      <w:r w:rsidRPr="008979C9">
        <w:rPr>
          <w:b/>
          <w:bCs/>
          <w:sz w:val="20"/>
          <w:szCs w:val="20"/>
          <w:lang w:val="et-EE"/>
        </w:rPr>
        <w:t xml:space="preserve"> </w:t>
      </w:r>
      <w:r w:rsidRPr="008979C9">
        <w:rPr>
          <w:sz w:val="20"/>
          <w:szCs w:val="20"/>
          <w:lang w:val="et-EE"/>
        </w:rPr>
        <w:t>nr …</w:t>
      </w:r>
    </w:p>
    <w:p w:rsidR="008979C9" w:rsidRDefault="008979C9" w:rsidP="00F42169">
      <w:pPr>
        <w:pStyle w:val="NormalWeb"/>
        <w:jc w:val="right"/>
        <w:rPr>
          <w:sz w:val="20"/>
          <w:szCs w:val="20"/>
          <w:lang w:val="et-EE"/>
        </w:rPr>
      </w:pPr>
      <w:r w:rsidRPr="008979C9">
        <w:rPr>
          <w:sz w:val="20"/>
          <w:szCs w:val="20"/>
          <w:lang w:val="et-EE"/>
        </w:rPr>
        <w:t>“Kohaliku tegevusgrupi toetus ja LEADER-projektitoetus</w:t>
      </w:r>
      <w:r>
        <w:rPr>
          <w:sz w:val="20"/>
          <w:szCs w:val="20"/>
          <w:lang w:val="et-EE"/>
        </w:rPr>
        <w:t>”</w:t>
      </w:r>
    </w:p>
    <w:p w:rsidR="008979C9" w:rsidRDefault="008979C9" w:rsidP="00F42169">
      <w:pPr>
        <w:pStyle w:val="NormalWeb"/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</w:t>
      </w:r>
      <w:r w:rsidRPr="008979C9">
        <w:rPr>
          <w:sz w:val="20"/>
          <w:szCs w:val="20"/>
          <w:lang w:val="et-EE"/>
        </w:rPr>
        <w:t>isa</w:t>
      </w:r>
    </w:p>
    <w:p w:rsidR="008979C9" w:rsidRDefault="008979C9" w:rsidP="00387AD3">
      <w:pPr>
        <w:pStyle w:val="Heading2"/>
        <w:jc w:val="both"/>
        <w:rPr>
          <w:sz w:val="20"/>
          <w:szCs w:val="20"/>
          <w:lang w:val="et-EE"/>
        </w:rPr>
      </w:pPr>
    </w:p>
    <w:p w:rsidR="00604FBC" w:rsidRDefault="00604FBC" w:rsidP="00387AD3">
      <w:pPr>
        <w:pStyle w:val="Heading2"/>
        <w:jc w:val="both"/>
        <w:rPr>
          <w:lang w:val="et-EE"/>
        </w:rPr>
      </w:pPr>
    </w:p>
    <w:p w:rsidR="00604FBC" w:rsidRPr="00FD75BD" w:rsidRDefault="00033ACC" w:rsidP="00F42169">
      <w:pPr>
        <w:pStyle w:val="Heading2"/>
        <w:rPr>
          <w:lang w:val="et-EE"/>
        </w:rPr>
      </w:pPr>
      <w:r w:rsidRPr="005507CF">
        <w:rPr>
          <w:lang w:val="et-EE"/>
        </w:rPr>
        <w:t xml:space="preserve">STRATEEGIA </w:t>
      </w:r>
      <w:r w:rsidR="00CE7230">
        <w:rPr>
          <w:lang w:val="et-EE"/>
        </w:rPr>
        <w:t>HINDAMISKRI</w:t>
      </w:r>
      <w:r w:rsidR="0038333E">
        <w:rPr>
          <w:lang w:val="et-EE"/>
        </w:rPr>
        <w:t>TEERIUMID</w:t>
      </w:r>
    </w:p>
    <w:p w:rsidR="00C578E2" w:rsidRDefault="00C578E2" w:rsidP="00387AD3">
      <w:pPr>
        <w:pStyle w:val="Heading2"/>
        <w:jc w:val="both"/>
        <w:rPr>
          <w:lang w:val="et-EE"/>
        </w:rPr>
      </w:pPr>
    </w:p>
    <w:p w:rsidR="008979C9" w:rsidRPr="007F2164" w:rsidRDefault="008979C9" w:rsidP="00F42169">
      <w:pPr>
        <w:rPr>
          <w:lang w:val="et-EE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C578E2" w:rsidRPr="00FD75BD" w:rsidTr="008A7268">
        <w:trPr>
          <w:trHeight w:val="316"/>
        </w:trPr>
        <w:tc>
          <w:tcPr>
            <w:tcW w:w="3420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  <w:r w:rsidRPr="00FD75BD">
              <w:rPr>
                <w:lang w:val="et-EE"/>
              </w:rPr>
              <w:t>Taotleja</w:t>
            </w:r>
          </w:p>
        </w:tc>
        <w:tc>
          <w:tcPr>
            <w:tcW w:w="6480" w:type="dxa"/>
            <w:gridSpan w:val="11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</w:tr>
      <w:tr w:rsidR="00C578E2" w:rsidRPr="00FD75BD" w:rsidTr="008A7268">
        <w:trPr>
          <w:trHeight w:val="264"/>
        </w:trPr>
        <w:tc>
          <w:tcPr>
            <w:tcW w:w="3420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  <w:r w:rsidRPr="00FD75BD">
              <w:rPr>
                <w:lang w:val="et-EE"/>
              </w:rPr>
              <w:t>Taotluse viitenumber</w:t>
            </w: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89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  <w:tc>
          <w:tcPr>
            <w:tcW w:w="590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</w:tr>
      <w:tr w:rsidR="00C578E2" w:rsidRPr="00FD75BD" w:rsidTr="008A7268">
        <w:trPr>
          <w:trHeight w:val="289"/>
        </w:trPr>
        <w:tc>
          <w:tcPr>
            <w:tcW w:w="3420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  <w:r w:rsidRPr="00FD75BD">
              <w:rPr>
                <w:lang w:val="et-EE"/>
              </w:rPr>
              <w:t>Komisjoni liikme nimi</w:t>
            </w:r>
          </w:p>
        </w:tc>
        <w:tc>
          <w:tcPr>
            <w:tcW w:w="6480" w:type="dxa"/>
            <w:gridSpan w:val="11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</w:tr>
      <w:tr w:rsidR="00C578E2" w:rsidRPr="00FD75BD" w:rsidTr="008A7268">
        <w:trPr>
          <w:trHeight w:val="280"/>
        </w:trPr>
        <w:tc>
          <w:tcPr>
            <w:tcW w:w="3420" w:type="dxa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  <w:r w:rsidRPr="00FD75BD">
              <w:rPr>
                <w:lang w:val="et-EE"/>
              </w:rPr>
              <w:t>Hindamise kuupäev</w:t>
            </w:r>
          </w:p>
        </w:tc>
        <w:tc>
          <w:tcPr>
            <w:tcW w:w="6480" w:type="dxa"/>
            <w:gridSpan w:val="11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</w:tr>
      <w:tr w:rsidR="00C578E2" w:rsidRPr="00FD75BD" w:rsidTr="008A7268">
        <w:trPr>
          <w:trHeight w:val="269"/>
        </w:trPr>
        <w:tc>
          <w:tcPr>
            <w:tcW w:w="3420" w:type="dxa"/>
          </w:tcPr>
          <w:p w:rsidR="00C578E2" w:rsidRPr="00FD75BD" w:rsidRDefault="00C578E2" w:rsidP="00387AD3">
            <w:pPr>
              <w:pStyle w:val="NormalWeb"/>
              <w:jc w:val="both"/>
              <w:rPr>
                <w:rFonts w:eastAsia="Times New Roman"/>
                <w:lang w:val="et-EE"/>
              </w:rPr>
            </w:pPr>
            <w:r w:rsidRPr="00FD75BD">
              <w:rPr>
                <w:rFonts w:eastAsia="Times New Roman"/>
                <w:lang w:val="et-EE"/>
              </w:rPr>
              <w:t xml:space="preserve">Antud </w:t>
            </w:r>
            <w:r w:rsidR="006A6FAA">
              <w:rPr>
                <w:rFonts w:eastAsia="Times New Roman"/>
                <w:lang w:val="et-EE"/>
              </w:rPr>
              <w:t>hinde</w:t>
            </w:r>
            <w:r w:rsidRPr="00FD75BD">
              <w:rPr>
                <w:rFonts w:eastAsia="Times New Roman"/>
                <w:lang w:val="et-EE"/>
              </w:rPr>
              <w:t>punktide summa</w:t>
            </w:r>
          </w:p>
        </w:tc>
        <w:tc>
          <w:tcPr>
            <w:tcW w:w="6480" w:type="dxa"/>
            <w:gridSpan w:val="11"/>
          </w:tcPr>
          <w:p w:rsidR="00C578E2" w:rsidRPr="00FD75BD" w:rsidRDefault="00C578E2" w:rsidP="00387AD3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C578E2" w:rsidRPr="00FD75BD" w:rsidTr="008A7268">
        <w:trPr>
          <w:trHeight w:val="274"/>
        </w:trPr>
        <w:tc>
          <w:tcPr>
            <w:tcW w:w="3420" w:type="dxa"/>
          </w:tcPr>
          <w:p w:rsidR="00C578E2" w:rsidRPr="00FD75BD" w:rsidRDefault="008A7268" w:rsidP="00387AD3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Allkiri</w:t>
            </w:r>
          </w:p>
        </w:tc>
        <w:tc>
          <w:tcPr>
            <w:tcW w:w="6480" w:type="dxa"/>
            <w:gridSpan w:val="11"/>
          </w:tcPr>
          <w:p w:rsidR="00C578E2" w:rsidRPr="00FD75BD" w:rsidRDefault="00C578E2" w:rsidP="00387AD3">
            <w:pPr>
              <w:jc w:val="both"/>
              <w:rPr>
                <w:lang w:val="et-EE"/>
              </w:rPr>
            </w:pPr>
          </w:p>
        </w:tc>
      </w:tr>
    </w:tbl>
    <w:p w:rsidR="00C578E2" w:rsidRPr="00FD75BD" w:rsidRDefault="00C578E2" w:rsidP="00387AD3">
      <w:pPr>
        <w:jc w:val="both"/>
        <w:rPr>
          <w:lang w:val="et-EE"/>
        </w:rPr>
      </w:pPr>
    </w:p>
    <w:p w:rsidR="000E3D41" w:rsidRPr="00FD75BD" w:rsidRDefault="000E3D41" w:rsidP="00387AD3">
      <w:pPr>
        <w:pStyle w:val="Caption"/>
        <w:keepNext/>
        <w:jc w:val="both"/>
        <w:rPr>
          <w:lang w:val="et-EE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835"/>
        <w:gridCol w:w="8079"/>
        <w:gridCol w:w="1276"/>
        <w:gridCol w:w="1276"/>
      </w:tblGrid>
      <w:tr w:rsidR="000E3D41" w:rsidRPr="00FD75BD" w:rsidTr="008A7268">
        <w:tc>
          <w:tcPr>
            <w:tcW w:w="606" w:type="dxa"/>
          </w:tcPr>
          <w:p w:rsidR="005507CF" w:rsidRPr="00A4175C" w:rsidRDefault="005507CF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proofErr w:type="spellStart"/>
            <w:r w:rsidRPr="00A4175C">
              <w:rPr>
                <w:b/>
                <w:bCs/>
                <w:sz w:val="20"/>
                <w:szCs w:val="20"/>
                <w:lang w:val="et-EE"/>
              </w:rPr>
              <w:t>Jrk</w:t>
            </w:r>
            <w:proofErr w:type="spellEnd"/>
          </w:p>
          <w:p w:rsidR="000E3D41" w:rsidRPr="00A4175C" w:rsidRDefault="005507CF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r w:rsidRPr="00A4175C">
              <w:rPr>
                <w:b/>
                <w:bCs/>
                <w:sz w:val="20"/>
                <w:szCs w:val="20"/>
                <w:lang w:val="et-EE"/>
              </w:rPr>
              <w:t>nr</w:t>
            </w:r>
          </w:p>
        </w:tc>
        <w:tc>
          <w:tcPr>
            <w:tcW w:w="2835" w:type="dxa"/>
          </w:tcPr>
          <w:p w:rsidR="008A7268" w:rsidRPr="00F42169" w:rsidRDefault="008A7268" w:rsidP="005507CF">
            <w:pPr>
              <w:jc w:val="center"/>
              <w:rPr>
                <w:b/>
                <w:bCs/>
                <w:lang w:val="et-EE"/>
              </w:rPr>
            </w:pPr>
          </w:p>
          <w:p w:rsidR="000E3D41" w:rsidRPr="00F42169" w:rsidRDefault="005272D5" w:rsidP="005272D5">
            <w:pPr>
              <w:jc w:val="center"/>
              <w:rPr>
                <w:b/>
                <w:bCs/>
                <w:lang w:val="et-EE"/>
              </w:rPr>
            </w:pPr>
            <w:r w:rsidRPr="00F42169">
              <w:rPr>
                <w:b/>
                <w:bCs/>
                <w:lang w:val="et-EE"/>
              </w:rPr>
              <w:t>Hindamisk</w:t>
            </w:r>
            <w:r w:rsidR="000E3D41" w:rsidRPr="00F42169">
              <w:rPr>
                <w:b/>
                <w:bCs/>
                <w:lang w:val="et-EE"/>
              </w:rPr>
              <w:t>riteerium</w:t>
            </w:r>
          </w:p>
        </w:tc>
        <w:tc>
          <w:tcPr>
            <w:tcW w:w="8079" w:type="dxa"/>
          </w:tcPr>
          <w:p w:rsidR="008A7268" w:rsidRPr="00F42169" w:rsidRDefault="008A7268" w:rsidP="005507CF">
            <w:pPr>
              <w:jc w:val="center"/>
              <w:rPr>
                <w:b/>
                <w:bCs/>
                <w:lang w:val="et-EE"/>
              </w:rPr>
            </w:pPr>
          </w:p>
          <w:p w:rsidR="000E3D41" w:rsidRPr="00F42169" w:rsidRDefault="00D34B01" w:rsidP="005507CF">
            <w:pPr>
              <w:jc w:val="center"/>
              <w:rPr>
                <w:b/>
                <w:bCs/>
                <w:lang w:val="et-EE"/>
              </w:rPr>
            </w:pPr>
            <w:r w:rsidRPr="00F42169">
              <w:rPr>
                <w:b/>
                <w:bCs/>
                <w:lang w:val="et-EE"/>
              </w:rPr>
              <w:t xml:space="preserve">Hindamise </w:t>
            </w:r>
            <w:r w:rsidR="000E3D41" w:rsidRPr="00F42169">
              <w:rPr>
                <w:b/>
                <w:bCs/>
                <w:lang w:val="et-EE"/>
              </w:rPr>
              <w:t>alus</w:t>
            </w:r>
          </w:p>
        </w:tc>
        <w:tc>
          <w:tcPr>
            <w:tcW w:w="1276" w:type="dxa"/>
          </w:tcPr>
          <w:p w:rsidR="008A7268" w:rsidRPr="00F42169" w:rsidRDefault="008A7268" w:rsidP="005507CF">
            <w:pPr>
              <w:jc w:val="center"/>
              <w:rPr>
                <w:b/>
                <w:bCs/>
                <w:lang w:val="et-EE"/>
              </w:rPr>
            </w:pPr>
          </w:p>
          <w:p w:rsidR="000E3D41" w:rsidRPr="00F42169" w:rsidRDefault="000E3D41" w:rsidP="005507CF">
            <w:pPr>
              <w:jc w:val="center"/>
              <w:rPr>
                <w:b/>
                <w:bCs/>
                <w:lang w:val="et-EE"/>
              </w:rPr>
            </w:pPr>
            <w:r w:rsidRPr="00F42169">
              <w:rPr>
                <w:b/>
                <w:bCs/>
                <w:lang w:val="et-EE"/>
              </w:rPr>
              <w:t>Skaala</w:t>
            </w:r>
          </w:p>
        </w:tc>
        <w:tc>
          <w:tcPr>
            <w:tcW w:w="1276" w:type="dxa"/>
          </w:tcPr>
          <w:p w:rsidR="000E3D41" w:rsidRPr="00F42169" w:rsidRDefault="000E3D41" w:rsidP="005507CF">
            <w:pPr>
              <w:jc w:val="center"/>
              <w:rPr>
                <w:b/>
                <w:bCs/>
                <w:lang w:val="et-EE"/>
              </w:rPr>
            </w:pPr>
            <w:r w:rsidRPr="00F42169">
              <w:rPr>
                <w:b/>
                <w:bCs/>
                <w:lang w:val="et-EE"/>
              </w:rPr>
              <w:t>Hinde-punktid</w:t>
            </w:r>
          </w:p>
        </w:tc>
      </w:tr>
      <w:tr w:rsidR="00864289" w:rsidRPr="00290E94" w:rsidTr="008A7268">
        <w:trPr>
          <w:cantSplit/>
        </w:trPr>
        <w:tc>
          <w:tcPr>
            <w:tcW w:w="606" w:type="dxa"/>
            <w:vMerge w:val="restart"/>
          </w:tcPr>
          <w:p w:rsidR="00864289" w:rsidRPr="00F42169" w:rsidRDefault="00864289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1.</w:t>
            </w:r>
          </w:p>
        </w:tc>
        <w:tc>
          <w:tcPr>
            <w:tcW w:w="2835" w:type="dxa"/>
            <w:vMerge w:val="restart"/>
          </w:tcPr>
          <w:p w:rsidR="00864289" w:rsidRPr="00FD75BD" w:rsidRDefault="005507CF" w:rsidP="005507CF">
            <w:pPr>
              <w:ind w:left="11"/>
              <w:jc w:val="both"/>
              <w:rPr>
                <w:sz w:val="20"/>
                <w:szCs w:val="20"/>
                <w:u w:val="single"/>
                <w:lang w:val="et-EE"/>
              </w:rPr>
            </w:pPr>
            <w:r>
              <w:rPr>
                <w:color w:val="000000"/>
                <w:lang w:val="et-EE"/>
              </w:rPr>
              <w:t>Kohaliku tegevusgrupi t</w:t>
            </w:r>
            <w:r w:rsidR="00860E60">
              <w:rPr>
                <w:color w:val="000000"/>
                <w:lang w:val="et-EE"/>
              </w:rPr>
              <w:t>egevusp</w:t>
            </w:r>
            <w:r w:rsidR="00864289" w:rsidRPr="00FD75BD">
              <w:rPr>
                <w:color w:val="000000"/>
                <w:lang w:val="et-EE"/>
              </w:rPr>
              <w:t>iirkonna arenguvajaduste kirjeldus</w:t>
            </w:r>
          </w:p>
        </w:tc>
        <w:tc>
          <w:tcPr>
            <w:tcW w:w="8079" w:type="dxa"/>
          </w:tcPr>
          <w:p w:rsidR="005507CF" w:rsidRPr="00296214" w:rsidRDefault="004B53C8">
            <w:pPr>
              <w:jc w:val="both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Strateegia</w:t>
            </w:r>
            <w:r w:rsidR="001C6ADC">
              <w:rPr>
                <w:color w:val="000000" w:themeColor="text1"/>
                <w:lang w:val="et-EE"/>
              </w:rPr>
              <w:t>s sisalduv</w:t>
            </w:r>
            <w:r w:rsidR="00AB4727" w:rsidRPr="00AB4727">
              <w:rPr>
                <w:color w:val="000000" w:themeColor="text1"/>
                <w:lang w:val="et-EE"/>
              </w:rPr>
              <w:t xml:space="preserve"> tegevuspiirkonna arenguvajaduste analüüs</w:t>
            </w:r>
            <w:r w:rsidR="001C6ADC">
              <w:rPr>
                <w:color w:val="000000" w:themeColor="text1"/>
                <w:lang w:val="et-EE"/>
              </w:rPr>
              <w:t xml:space="preserve"> on üldsõnaline ning iseloomustamiseks </w:t>
            </w:r>
            <w:r w:rsidR="00AB4727" w:rsidRPr="00AB4727">
              <w:rPr>
                <w:color w:val="000000" w:themeColor="text1"/>
                <w:lang w:val="et-EE"/>
              </w:rPr>
              <w:t>kasuta</w:t>
            </w:r>
            <w:r w:rsidR="00290E94">
              <w:rPr>
                <w:color w:val="000000" w:themeColor="text1"/>
                <w:lang w:val="et-EE"/>
              </w:rPr>
              <w:t>ta</w:t>
            </w:r>
            <w:r>
              <w:rPr>
                <w:color w:val="000000" w:themeColor="text1"/>
                <w:lang w:val="et-EE"/>
              </w:rPr>
              <w:t xml:space="preserve">kse </w:t>
            </w:r>
            <w:r w:rsidR="001C6ADC">
              <w:rPr>
                <w:color w:val="000000" w:themeColor="text1"/>
                <w:lang w:val="et-EE"/>
              </w:rPr>
              <w:t xml:space="preserve">ainult </w:t>
            </w:r>
            <w:r>
              <w:rPr>
                <w:color w:val="000000" w:themeColor="text1"/>
                <w:lang w:val="et-EE"/>
              </w:rPr>
              <w:t>statistilisi ülevaateid</w:t>
            </w:r>
            <w:r w:rsidR="008A7268">
              <w:rPr>
                <w:color w:val="000000" w:themeColor="text1"/>
                <w:lang w:val="et-EE"/>
              </w:rPr>
              <w:t xml:space="preserve">. </w:t>
            </w:r>
            <w:r w:rsidR="00864289" w:rsidRPr="00A26242">
              <w:rPr>
                <w:color w:val="000000" w:themeColor="text1"/>
                <w:lang w:val="et-EE"/>
              </w:rPr>
              <w:t>Seosed</w:t>
            </w:r>
            <w:r w:rsidR="00EC3D8E">
              <w:rPr>
                <w:color w:val="000000" w:themeColor="text1"/>
                <w:lang w:val="et-EE"/>
              </w:rPr>
              <w:t xml:space="preserve"> olukorra analüüsi, </w:t>
            </w:r>
            <w:r w:rsidR="001D5689">
              <w:rPr>
                <w:color w:val="000000" w:themeColor="text1"/>
                <w:lang w:val="et-EE"/>
              </w:rPr>
              <w:t>arenguvajaduste</w:t>
            </w:r>
            <w:r w:rsidR="00EC3D8E">
              <w:rPr>
                <w:color w:val="000000" w:themeColor="text1"/>
                <w:lang w:val="et-EE"/>
              </w:rPr>
              <w:t xml:space="preserve"> </w:t>
            </w:r>
            <w:r w:rsidR="00864289" w:rsidRPr="00A26242">
              <w:rPr>
                <w:color w:val="000000" w:themeColor="text1"/>
                <w:lang w:val="et-EE"/>
              </w:rPr>
              <w:t xml:space="preserve">ja SWOTi </w:t>
            </w:r>
            <w:r w:rsidR="00864289">
              <w:rPr>
                <w:color w:val="000000" w:themeColor="text1"/>
                <w:lang w:val="et-EE"/>
              </w:rPr>
              <w:t xml:space="preserve">vahel </w:t>
            </w:r>
            <w:r w:rsidR="001C6ADC">
              <w:rPr>
                <w:color w:val="000000" w:themeColor="text1"/>
                <w:lang w:val="et-EE"/>
              </w:rPr>
              <w:t>puuduvad</w:t>
            </w:r>
            <w:r w:rsidR="00864289" w:rsidRPr="00A26242">
              <w:rPr>
                <w:color w:val="000000" w:themeColor="text1"/>
                <w:lang w:val="et-EE"/>
              </w:rPr>
              <w:t xml:space="preserve">. </w:t>
            </w:r>
            <w:r w:rsidR="002540FC">
              <w:rPr>
                <w:color w:val="000000" w:themeColor="text1"/>
                <w:lang w:val="et-EE"/>
              </w:rPr>
              <w:t>Tegevusp</w:t>
            </w:r>
            <w:r w:rsidR="006B3E9C">
              <w:rPr>
                <w:color w:val="000000" w:themeColor="text1"/>
                <w:lang w:val="et-EE"/>
              </w:rPr>
              <w:t>iirkonna eripära ei selgu.</w:t>
            </w:r>
          </w:p>
        </w:tc>
        <w:tc>
          <w:tcPr>
            <w:tcW w:w="1276" w:type="dxa"/>
          </w:tcPr>
          <w:p w:rsidR="00864289" w:rsidRPr="007F2F52" w:rsidRDefault="00864289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864289" w:rsidRPr="00FD75BD" w:rsidRDefault="00864289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4289" w:rsidRPr="00290E94" w:rsidTr="008A7268">
        <w:trPr>
          <w:cantSplit/>
        </w:trPr>
        <w:tc>
          <w:tcPr>
            <w:tcW w:w="606" w:type="dxa"/>
            <w:vMerge/>
          </w:tcPr>
          <w:p w:rsidR="00864289" w:rsidRPr="00F42169" w:rsidRDefault="00864289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4289" w:rsidRDefault="00864289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5507CF" w:rsidRPr="008A7268" w:rsidRDefault="000D60E0">
            <w:pPr>
              <w:jc w:val="both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 xml:space="preserve">Strateegias sisalduva </w:t>
            </w:r>
            <w:r w:rsidR="0009746E">
              <w:rPr>
                <w:color w:val="000000" w:themeColor="text1"/>
                <w:lang w:val="et-EE"/>
              </w:rPr>
              <w:t xml:space="preserve">tegevuspiirkonna </w:t>
            </w:r>
            <w:r w:rsidR="00F33DDC">
              <w:rPr>
                <w:color w:val="000000" w:themeColor="text1"/>
                <w:lang w:val="et-EE"/>
              </w:rPr>
              <w:t>olukorra analüüsi, arenguvajaduste</w:t>
            </w:r>
            <w:r w:rsidR="00F33DDC" w:rsidRPr="00A26242">
              <w:rPr>
                <w:color w:val="000000" w:themeColor="text1"/>
                <w:lang w:val="et-EE"/>
              </w:rPr>
              <w:t xml:space="preserve"> ja SWOTi </w:t>
            </w:r>
            <w:r w:rsidR="00F33DDC">
              <w:rPr>
                <w:color w:val="000000" w:themeColor="text1"/>
                <w:lang w:val="et-EE"/>
              </w:rPr>
              <w:t xml:space="preserve">vahel on </w:t>
            </w:r>
            <w:r w:rsidR="000944A8">
              <w:rPr>
                <w:color w:val="000000" w:themeColor="text1"/>
                <w:lang w:val="et-EE"/>
              </w:rPr>
              <w:t xml:space="preserve">olemas </w:t>
            </w:r>
            <w:r w:rsidRPr="005116E1">
              <w:rPr>
                <w:color w:val="000000" w:themeColor="text1"/>
                <w:lang w:val="et-EE"/>
              </w:rPr>
              <w:t>osaline</w:t>
            </w:r>
            <w:r>
              <w:rPr>
                <w:color w:val="000000" w:themeColor="text1"/>
                <w:lang w:val="et-EE"/>
              </w:rPr>
              <w:t xml:space="preserve"> s</w:t>
            </w:r>
            <w:r w:rsidRPr="00A26242">
              <w:rPr>
                <w:color w:val="000000" w:themeColor="text1"/>
                <w:lang w:val="et-EE"/>
              </w:rPr>
              <w:t>eos</w:t>
            </w:r>
            <w:r w:rsidR="00F33DDC">
              <w:rPr>
                <w:color w:val="000000" w:themeColor="text1"/>
                <w:lang w:val="et-EE"/>
              </w:rPr>
              <w:t>.</w:t>
            </w:r>
            <w:r w:rsidR="00387AD3">
              <w:rPr>
                <w:color w:val="000000" w:themeColor="text1"/>
                <w:lang w:val="et-EE"/>
              </w:rPr>
              <w:t xml:space="preserve"> </w:t>
            </w:r>
            <w:r w:rsidR="00133174">
              <w:rPr>
                <w:color w:val="000000" w:themeColor="text1"/>
                <w:lang w:val="et-EE"/>
              </w:rPr>
              <w:t>Kirjeldatud</w:t>
            </w:r>
            <w:r w:rsidR="000F1434">
              <w:rPr>
                <w:color w:val="000000" w:themeColor="text1"/>
                <w:lang w:val="et-EE"/>
              </w:rPr>
              <w:t xml:space="preserve"> on</w:t>
            </w:r>
            <w:r w:rsidR="003A3F9E">
              <w:rPr>
                <w:color w:val="000000" w:themeColor="text1"/>
                <w:lang w:val="et-EE"/>
              </w:rPr>
              <w:t xml:space="preserve"> ebaühtlaselt või </w:t>
            </w:r>
            <w:r w:rsidR="003A3F9E" w:rsidRPr="005116E1">
              <w:rPr>
                <w:color w:val="000000" w:themeColor="text1"/>
                <w:lang w:val="et-EE"/>
              </w:rPr>
              <w:t>vähesel</w:t>
            </w:r>
            <w:r w:rsidR="003A3F9E">
              <w:rPr>
                <w:color w:val="000000" w:themeColor="text1"/>
                <w:lang w:val="et-EE"/>
              </w:rPr>
              <w:t xml:space="preserve"> määral.</w:t>
            </w:r>
            <w:r w:rsidR="00133174">
              <w:rPr>
                <w:color w:val="000000" w:themeColor="text1"/>
                <w:lang w:val="et-EE"/>
              </w:rPr>
              <w:t xml:space="preserve"> </w:t>
            </w:r>
            <w:r w:rsidR="002540FC">
              <w:rPr>
                <w:color w:val="000000" w:themeColor="text1"/>
                <w:lang w:val="et-EE"/>
              </w:rPr>
              <w:t>Tegevusp</w:t>
            </w:r>
            <w:r w:rsidR="005507CF">
              <w:rPr>
                <w:color w:val="000000" w:themeColor="text1"/>
                <w:lang w:val="et-EE"/>
              </w:rPr>
              <w:t>iirkonna eripära on ebaselge.</w:t>
            </w:r>
          </w:p>
        </w:tc>
        <w:tc>
          <w:tcPr>
            <w:tcW w:w="1276" w:type="dxa"/>
          </w:tcPr>
          <w:p w:rsidR="00864289" w:rsidRPr="007F2F52" w:rsidRDefault="00864289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864289" w:rsidRPr="00FD75BD" w:rsidRDefault="00864289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4289" w:rsidRPr="00133174" w:rsidTr="008A7268">
        <w:trPr>
          <w:cantSplit/>
          <w:trHeight w:val="863"/>
        </w:trPr>
        <w:tc>
          <w:tcPr>
            <w:tcW w:w="606" w:type="dxa"/>
            <w:vMerge/>
          </w:tcPr>
          <w:p w:rsidR="00864289" w:rsidRPr="00F42169" w:rsidRDefault="00864289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4289" w:rsidRDefault="00864289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5507CF" w:rsidRPr="008A7268" w:rsidRDefault="005507CF">
            <w:pPr>
              <w:jc w:val="both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Strateegias sisalduva tegevuspiirkonna olukorra analüüsi, arenguvajaduste</w:t>
            </w:r>
            <w:r w:rsidR="005116E1">
              <w:rPr>
                <w:color w:val="000000" w:themeColor="text1"/>
                <w:lang w:val="et-EE"/>
              </w:rPr>
              <w:t xml:space="preserve"> </w:t>
            </w:r>
            <w:r w:rsidRPr="00A26242">
              <w:rPr>
                <w:color w:val="000000" w:themeColor="text1"/>
                <w:lang w:val="et-EE"/>
              </w:rPr>
              <w:t xml:space="preserve">ja SWOTi </w:t>
            </w:r>
            <w:r>
              <w:rPr>
                <w:color w:val="000000" w:themeColor="text1"/>
                <w:lang w:val="et-EE"/>
              </w:rPr>
              <w:t xml:space="preserve">vahel </w:t>
            </w:r>
            <w:r w:rsidR="00B15AFA">
              <w:rPr>
                <w:color w:val="000000" w:themeColor="text1"/>
                <w:lang w:val="et-EE"/>
              </w:rPr>
              <w:t>on</w:t>
            </w:r>
            <w:r w:rsidR="003A3F9E">
              <w:rPr>
                <w:color w:val="000000" w:themeColor="text1"/>
                <w:lang w:val="et-EE"/>
              </w:rPr>
              <w:t xml:space="preserve"> </w:t>
            </w:r>
            <w:r w:rsidR="003A3F9E" w:rsidRPr="005116E1">
              <w:rPr>
                <w:color w:val="000000" w:themeColor="text1"/>
                <w:lang w:val="et-EE"/>
              </w:rPr>
              <w:t>olulises osas</w:t>
            </w:r>
            <w:r w:rsidR="003A3F9E">
              <w:rPr>
                <w:color w:val="000000" w:themeColor="text1"/>
                <w:lang w:val="et-EE"/>
              </w:rPr>
              <w:t xml:space="preserve"> </w:t>
            </w:r>
            <w:r w:rsidR="00B15AFA" w:rsidRPr="00A26242">
              <w:rPr>
                <w:color w:val="000000" w:themeColor="text1"/>
                <w:lang w:val="et-EE"/>
              </w:rPr>
              <w:t>seos</w:t>
            </w:r>
            <w:r>
              <w:rPr>
                <w:color w:val="000000" w:themeColor="text1"/>
                <w:lang w:val="et-EE"/>
              </w:rPr>
              <w:t>ed</w:t>
            </w:r>
            <w:r w:rsidR="00B15AFA">
              <w:rPr>
                <w:color w:val="000000" w:themeColor="text1"/>
                <w:lang w:val="et-EE"/>
              </w:rPr>
              <w:t>.</w:t>
            </w:r>
            <w:r>
              <w:rPr>
                <w:color w:val="000000" w:themeColor="text1"/>
                <w:lang w:val="et-EE"/>
              </w:rPr>
              <w:t xml:space="preserve"> </w:t>
            </w:r>
            <w:r w:rsidR="002540FC">
              <w:rPr>
                <w:color w:val="000000" w:themeColor="text1"/>
                <w:lang w:val="et-EE"/>
              </w:rPr>
              <w:t>Tegevusp</w:t>
            </w:r>
            <w:r>
              <w:rPr>
                <w:color w:val="000000" w:themeColor="text1"/>
                <w:lang w:val="et-EE"/>
              </w:rPr>
              <w:t>iirkonna eripära on välja toodud.</w:t>
            </w:r>
          </w:p>
        </w:tc>
        <w:tc>
          <w:tcPr>
            <w:tcW w:w="1276" w:type="dxa"/>
          </w:tcPr>
          <w:p w:rsidR="00864289" w:rsidRPr="007F2F52" w:rsidRDefault="00864289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864289" w:rsidRPr="00FD75BD" w:rsidRDefault="00864289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4289" w:rsidRPr="00FD75BD" w:rsidTr="008A7268">
        <w:trPr>
          <w:cantSplit/>
        </w:trPr>
        <w:tc>
          <w:tcPr>
            <w:tcW w:w="606" w:type="dxa"/>
            <w:vMerge/>
          </w:tcPr>
          <w:p w:rsidR="00864289" w:rsidRPr="00023BA2" w:rsidRDefault="00864289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4289" w:rsidRDefault="00864289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5507CF" w:rsidRPr="007F6B0E" w:rsidRDefault="0009746E">
            <w:pPr>
              <w:jc w:val="both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 xml:space="preserve">Strateegias sisalduv </w:t>
            </w:r>
            <w:r w:rsidR="007F6B0E" w:rsidRPr="007F6B0E">
              <w:rPr>
                <w:color w:val="000000" w:themeColor="text1"/>
                <w:lang w:val="et-EE"/>
              </w:rPr>
              <w:t xml:space="preserve">tegevuspiirkonna arenguvajaduste analüüs on </w:t>
            </w:r>
            <w:r w:rsidR="007F6B0E">
              <w:rPr>
                <w:color w:val="000000" w:themeColor="text1"/>
                <w:lang w:val="et-EE"/>
              </w:rPr>
              <w:t>konkreetne</w:t>
            </w:r>
            <w:r w:rsidR="007F6B0E" w:rsidRPr="007F6B0E">
              <w:rPr>
                <w:color w:val="000000" w:themeColor="text1"/>
                <w:lang w:val="et-EE"/>
              </w:rPr>
              <w:t xml:space="preserve"> ning tegevuspiirkonna iseloomustamiseks </w:t>
            </w:r>
            <w:r w:rsidR="00133174">
              <w:rPr>
                <w:color w:val="000000" w:themeColor="text1"/>
                <w:lang w:val="et-EE"/>
              </w:rPr>
              <w:t xml:space="preserve">on kasutatud </w:t>
            </w:r>
            <w:r w:rsidR="007F6B0E">
              <w:rPr>
                <w:color w:val="000000" w:themeColor="text1"/>
                <w:lang w:val="et-EE"/>
              </w:rPr>
              <w:t xml:space="preserve">ka </w:t>
            </w:r>
            <w:r w:rsidR="007F6B0E" w:rsidRPr="00F23CFF">
              <w:rPr>
                <w:color w:val="000000" w:themeColor="text1"/>
                <w:lang w:val="et-EE"/>
              </w:rPr>
              <w:t>trende</w:t>
            </w:r>
            <w:r w:rsidR="007F6B0E" w:rsidRPr="007F6B0E">
              <w:rPr>
                <w:color w:val="000000" w:themeColor="text1"/>
                <w:lang w:val="et-EE"/>
              </w:rPr>
              <w:t xml:space="preserve">. Seosed olukorra analüüsi, arenguvajaduste ja SWOTi vahel </w:t>
            </w:r>
            <w:r w:rsidR="007F6B0E">
              <w:rPr>
                <w:color w:val="000000" w:themeColor="text1"/>
                <w:lang w:val="et-EE"/>
              </w:rPr>
              <w:t xml:space="preserve">on selged ja loogilised. </w:t>
            </w:r>
            <w:r w:rsidR="006B3E9C">
              <w:rPr>
                <w:color w:val="000000" w:themeColor="text1"/>
                <w:lang w:val="et-EE"/>
              </w:rPr>
              <w:t xml:space="preserve">Selgelt on välja toodud </w:t>
            </w:r>
            <w:r w:rsidR="002540FC">
              <w:rPr>
                <w:color w:val="000000" w:themeColor="text1"/>
                <w:lang w:val="et-EE"/>
              </w:rPr>
              <w:t>tegevus</w:t>
            </w:r>
            <w:r w:rsidR="006B3E9C">
              <w:rPr>
                <w:color w:val="000000" w:themeColor="text1"/>
                <w:lang w:val="et-EE"/>
              </w:rPr>
              <w:t>piirkonna eripära.</w:t>
            </w:r>
          </w:p>
        </w:tc>
        <w:tc>
          <w:tcPr>
            <w:tcW w:w="1276" w:type="dxa"/>
          </w:tcPr>
          <w:p w:rsidR="00864289" w:rsidRPr="007F2F52" w:rsidRDefault="00864289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864289" w:rsidRPr="00FD75BD" w:rsidRDefault="00864289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290B76" w:rsidRPr="00FD75BD" w:rsidTr="008A7268">
        <w:trPr>
          <w:cantSplit/>
        </w:trPr>
        <w:tc>
          <w:tcPr>
            <w:tcW w:w="606" w:type="dxa"/>
            <w:vMerge w:val="restart"/>
          </w:tcPr>
          <w:p w:rsidR="00290B76" w:rsidRPr="00F42169" w:rsidRDefault="00290B76" w:rsidP="00F42169">
            <w:pPr>
              <w:jc w:val="center"/>
              <w:rPr>
                <w:b/>
                <w:szCs w:val="20"/>
                <w:lang w:val="et-EE"/>
              </w:rPr>
            </w:pPr>
            <w:r w:rsidRPr="00F42169">
              <w:rPr>
                <w:b/>
                <w:sz w:val="22"/>
                <w:szCs w:val="20"/>
                <w:lang w:val="et-EE"/>
              </w:rPr>
              <w:t>2.</w:t>
            </w:r>
          </w:p>
        </w:tc>
        <w:tc>
          <w:tcPr>
            <w:tcW w:w="2835" w:type="dxa"/>
            <w:vMerge w:val="restart"/>
          </w:tcPr>
          <w:p w:rsidR="00290B76" w:rsidRPr="00593659" w:rsidRDefault="00290B76" w:rsidP="00387AD3">
            <w:pPr>
              <w:jc w:val="both"/>
              <w:rPr>
                <w:bCs/>
                <w:color w:val="000000"/>
                <w:lang w:val="et-EE"/>
              </w:rPr>
            </w:pPr>
            <w:r w:rsidRPr="00593659">
              <w:rPr>
                <w:bCs/>
                <w:color w:val="000000"/>
                <w:lang w:val="et-EE"/>
              </w:rPr>
              <w:t>Strateegia eesmärkide ja meetmete asjakohasus</w:t>
            </w:r>
          </w:p>
        </w:tc>
        <w:tc>
          <w:tcPr>
            <w:tcW w:w="8079" w:type="dxa"/>
          </w:tcPr>
          <w:p w:rsidR="005507CF" w:rsidRPr="005B6E3F" w:rsidRDefault="00076CCF" w:rsidP="00387AD3">
            <w:p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Strateegias on k</w:t>
            </w:r>
            <w:r w:rsidR="00290B76" w:rsidRPr="00593659">
              <w:rPr>
                <w:color w:val="000000"/>
                <w:lang w:val="et-EE"/>
              </w:rPr>
              <w:t xml:space="preserve">irjeldatud ainult eesmärgid või meetmed. Eesmärgid ja meetmed ei tulene olukorra analüüsist ja </w:t>
            </w:r>
            <w:r w:rsidR="00197EA0" w:rsidRPr="00593659">
              <w:rPr>
                <w:color w:val="000000"/>
                <w:lang w:val="et-EE"/>
              </w:rPr>
              <w:t>tegevus</w:t>
            </w:r>
            <w:r w:rsidR="00290B76" w:rsidRPr="00593659">
              <w:rPr>
                <w:color w:val="000000"/>
                <w:lang w:val="et-EE"/>
              </w:rPr>
              <w:t xml:space="preserve">piirkonna </w:t>
            </w:r>
            <w:r w:rsidR="00197EA0" w:rsidRPr="00593659">
              <w:rPr>
                <w:color w:val="000000"/>
                <w:lang w:val="et-EE"/>
              </w:rPr>
              <w:t>arengu</w:t>
            </w:r>
            <w:r w:rsidR="00290B76" w:rsidRPr="00593659">
              <w:rPr>
                <w:color w:val="000000"/>
                <w:lang w:val="et-EE"/>
              </w:rPr>
              <w:t xml:space="preserve">vajadustest ning ei ole seotud </w:t>
            </w:r>
            <w:r w:rsidR="002540FC">
              <w:rPr>
                <w:color w:val="000000"/>
                <w:lang w:val="et-EE"/>
              </w:rPr>
              <w:t>tegevus</w:t>
            </w:r>
            <w:r w:rsidR="00290B76" w:rsidRPr="00593659">
              <w:rPr>
                <w:color w:val="000000"/>
                <w:lang w:val="et-EE"/>
              </w:rPr>
              <w:t>piirkonna eripäradega.</w:t>
            </w:r>
            <w:r w:rsidR="00197EA0" w:rsidRPr="00593659">
              <w:rPr>
                <w:color w:val="000000"/>
                <w:lang w:val="et-EE"/>
              </w:rPr>
              <w:t xml:space="preserve"> </w:t>
            </w:r>
            <w:r w:rsidR="00044402" w:rsidRPr="00593659">
              <w:rPr>
                <w:color w:val="000000"/>
                <w:lang w:val="et-EE"/>
              </w:rPr>
              <w:t>Indikaatorid ja nende s</w:t>
            </w:r>
            <w:r w:rsidR="007B75F4" w:rsidRPr="00593659">
              <w:rPr>
                <w:color w:val="000000"/>
                <w:lang w:val="et-EE"/>
              </w:rPr>
              <w:t xml:space="preserve">ihttasemed </w:t>
            </w:r>
            <w:r w:rsidR="00044402" w:rsidRPr="00593659">
              <w:rPr>
                <w:color w:val="000000"/>
                <w:lang w:val="et-EE"/>
              </w:rPr>
              <w:t>ei ole seoses eesmärkide ja meetmetega.</w:t>
            </w:r>
          </w:p>
        </w:tc>
        <w:tc>
          <w:tcPr>
            <w:tcW w:w="1276" w:type="dxa"/>
          </w:tcPr>
          <w:p w:rsidR="00290B76" w:rsidRPr="007F2F52" w:rsidRDefault="00290B76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290B76" w:rsidRPr="00FD75BD" w:rsidRDefault="00290B76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290B76" w:rsidRPr="00FD75BD" w:rsidTr="008A7268">
        <w:trPr>
          <w:cantSplit/>
        </w:trPr>
        <w:tc>
          <w:tcPr>
            <w:tcW w:w="606" w:type="dxa"/>
            <w:vMerge/>
          </w:tcPr>
          <w:p w:rsidR="00290B76" w:rsidRPr="00F42169" w:rsidRDefault="00290B76" w:rsidP="00023BA2">
            <w:pPr>
              <w:jc w:val="center"/>
              <w:rPr>
                <w:b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290B76" w:rsidRPr="00593659" w:rsidRDefault="00290B76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5507CF" w:rsidRPr="005B6E3F" w:rsidRDefault="003F529C" w:rsidP="00387AD3">
            <w:p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Strateegias on kirjeldatud e</w:t>
            </w:r>
            <w:r w:rsidR="00290B76" w:rsidRPr="00593659">
              <w:rPr>
                <w:color w:val="000000"/>
                <w:lang w:val="et-EE"/>
              </w:rPr>
              <w:t xml:space="preserve">esmärgid ja meetmed, kuid </w:t>
            </w:r>
            <w:r w:rsidR="00BA19B9">
              <w:rPr>
                <w:color w:val="000000"/>
                <w:lang w:val="et-EE"/>
              </w:rPr>
              <w:t xml:space="preserve">nende </w:t>
            </w:r>
            <w:r w:rsidR="00290B76" w:rsidRPr="00593659">
              <w:rPr>
                <w:color w:val="000000"/>
                <w:lang w:val="et-EE"/>
              </w:rPr>
              <w:t>omavahelised seosed puuduvad. E</w:t>
            </w:r>
            <w:r w:rsidR="007F2164">
              <w:rPr>
                <w:color w:val="000000"/>
                <w:lang w:val="et-EE"/>
              </w:rPr>
              <w:t>esmärgid ja meetmed e</w:t>
            </w:r>
            <w:r w:rsidR="00290B76" w:rsidRPr="00593659">
              <w:rPr>
                <w:color w:val="000000"/>
                <w:lang w:val="et-EE"/>
              </w:rPr>
              <w:t xml:space="preserve">i tulene olukorra analüüsist või </w:t>
            </w:r>
            <w:r w:rsidR="002540FC">
              <w:rPr>
                <w:color w:val="000000"/>
                <w:lang w:val="et-EE"/>
              </w:rPr>
              <w:t>tegevus</w:t>
            </w:r>
            <w:r w:rsidR="00290B76" w:rsidRPr="00593659">
              <w:rPr>
                <w:color w:val="000000"/>
                <w:lang w:val="et-EE"/>
              </w:rPr>
              <w:t xml:space="preserve">piirkonna vajadustest ning ei ole seotud </w:t>
            </w:r>
            <w:r w:rsidR="002540FC">
              <w:rPr>
                <w:color w:val="000000"/>
                <w:lang w:val="et-EE"/>
              </w:rPr>
              <w:t>tegevus</w:t>
            </w:r>
            <w:r w:rsidR="00290B76" w:rsidRPr="00593659">
              <w:rPr>
                <w:color w:val="000000"/>
                <w:lang w:val="et-EE"/>
              </w:rPr>
              <w:t>piirkonna eripäradega.</w:t>
            </w:r>
            <w:r w:rsidR="005B6E3F">
              <w:rPr>
                <w:color w:val="000000"/>
                <w:lang w:val="et-EE"/>
              </w:rPr>
              <w:t xml:space="preserve"> </w:t>
            </w:r>
            <w:r w:rsidR="005B6E3F" w:rsidRPr="005116E1">
              <w:rPr>
                <w:color w:val="000000"/>
                <w:lang w:val="et-EE"/>
              </w:rPr>
              <w:t>Vähesed</w:t>
            </w:r>
            <w:r w:rsidR="00044402" w:rsidRPr="00593659">
              <w:rPr>
                <w:color w:val="000000"/>
                <w:lang w:val="et-EE"/>
              </w:rPr>
              <w:t xml:space="preserve"> indikaatori</w:t>
            </w:r>
            <w:r w:rsidR="005B6E3F">
              <w:rPr>
                <w:color w:val="000000"/>
                <w:lang w:val="et-EE"/>
              </w:rPr>
              <w:t>d</w:t>
            </w:r>
            <w:r w:rsidR="00044402" w:rsidRPr="00593659">
              <w:rPr>
                <w:color w:val="000000"/>
                <w:lang w:val="et-EE"/>
              </w:rPr>
              <w:t xml:space="preserve"> ja nende sihttaseme</w:t>
            </w:r>
            <w:r w:rsidR="005B6E3F">
              <w:rPr>
                <w:color w:val="000000"/>
                <w:lang w:val="et-EE"/>
              </w:rPr>
              <w:t>d</w:t>
            </w:r>
            <w:r w:rsidR="00044402" w:rsidRPr="00593659">
              <w:rPr>
                <w:color w:val="000000"/>
                <w:lang w:val="et-EE"/>
              </w:rPr>
              <w:t xml:space="preserve"> on seoses eesmärkide ja meetmetega.</w:t>
            </w:r>
          </w:p>
        </w:tc>
        <w:tc>
          <w:tcPr>
            <w:tcW w:w="1276" w:type="dxa"/>
          </w:tcPr>
          <w:p w:rsidR="00290B76" w:rsidRPr="007F2F52" w:rsidRDefault="00290B76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290B76" w:rsidRPr="00FD75BD" w:rsidRDefault="00290B76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290B76" w:rsidRPr="00FD75BD" w:rsidTr="008A7268">
        <w:trPr>
          <w:cantSplit/>
        </w:trPr>
        <w:tc>
          <w:tcPr>
            <w:tcW w:w="606" w:type="dxa"/>
            <w:vMerge/>
          </w:tcPr>
          <w:p w:rsidR="00290B76" w:rsidRPr="00023BA2" w:rsidRDefault="00290B76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290B76" w:rsidRPr="009E67E5" w:rsidRDefault="00290B76" w:rsidP="00387AD3">
            <w:pPr>
              <w:jc w:val="both"/>
              <w:rPr>
                <w:bCs/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290B76" w:rsidRPr="000B1E11" w:rsidRDefault="003F529C" w:rsidP="00387AD3">
            <w:p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Strateegias on kirjeldatud e</w:t>
            </w:r>
            <w:r w:rsidR="00290B76" w:rsidRPr="009E67E5">
              <w:rPr>
                <w:color w:val="000000"/>
                <w:lang w:val="et-EE"/>
              </w:rPr>
              <w:t xml:space="preserve">esmärgid ja meetmed, </w:t>
            </w:r>
            <w:r>
              <w:rPr>
                <w:color w:val="000000"/>
                <w:lang w:val="et-EE"/>
              </w:rPr>
              <w:t>kuid</w:t>
            </w:r>
            <w:r w:rsidR="00290B76" w:rsidRPr="009E67E5">
              <w:rPr>
                <w:color w:val="000000"/>
                <w:lang w:val="et-EE"/>
              </w:rPr>
              <w:t xml:space="preserve"> nende v</w:t>
            </w:r>
            <w:r w:rsidR="000B1E11">
              <w:rPr>
                <w:color w:val="000000"/>
                <w:lang w:val="et-EE"/>
              </w:rPr>
              <w:t xml:space="preserve">ahel on ainult </w:t>
            </w:r>
            <w:r w:rsidR="000B1E11" w:rsidRPr="005116E1">
              <w:rPr>
                <w:color w:val="000000"/>
                <w:lang w:val="et-EE"/>
              </w:rPr>
              <w:t>osalised</w:t>
            </w:r>
            <w:r w:rsidR="000B1E11">
              <w:rPr>
                <w:color w:val="000000"/>
                <w:lang w:val="et-EE"/>
              </w:rPr>
              <w:t xml:space="preserve"> seosed.</w:t>
            </w:r>
            <w:r w:rsidR="000F1434">
              <w:rPr>
                <w:color w:val="000000"/>
                <w:lang w:val="et-EE"/>
              </w:rPr>
              <w:t xml:space="preserve"> </w:t>
            </w:r>
            <w:r w:rsidR="00290B76" w:rsidRPr="000B1E11">
              <w:rPr>
                <w:color w:val="000000"/>
                <w:lang w:val="et-EE"/>
              </w:rPr>
              <w:t xml:space="preserve">Eesmärgid ja meetmed tulenevad </w:t>
            </w:r>
            <w:r w:rsidR="00290B76" w:rsidRPr="005116E1">
              <w:rPr>
                <w:color w:val="000000"/>
                <w:lang w:val="et-EE"/>
              </w:rPr>
              <w:t>olulisel</w:t>
            </w:r>
            <w:r w:rsidR="00290B76" w:rsidRPr="000B1E11">
              <w:rPr>
                <w:color w:val="000000"/>
                <w:lang w:val="et-EE"/>
              </w:rPr>
              <w:t xml:space="preserve"> määral olukorra analüüsist ja </w:t>
            </w:r>
            <w:r w:rsidR="002540FC">
              <w:rPr>
                <w:color w:val="000000"/>
                <w:lang w:val="et-EE"/>
              </w:rPr>
              <w:t>tegevus</w:t>
            </w:r>
            <w:r w:rsidR="00290B76" w:rsidRPr="000B1E11">
              <w:rPr>
                <w:color w:val="000000"/>
                <w:lang w:val="et-EE"/>
              </w:rPr>
              <w:t xml:space="preserve">piirkonna vajadustest ning on seotud </w:t>
            </w:r>
            <w:r w:rsidR="002540FC">
              <w:rPr>
                <w:color w:val="000000"/>
                <w:lang w:val="et-EE"/>
              </w:rPr>
              <w:t>tegevus</w:t>
            </w:r>
            <w:r w:rsidR="00290B76" w:rsidRPr="000B1E11">
              <w:rPr>
                <w:color w:val="000000"/>
                <w:lang w:val="et-EE"/>
              </w:rPr>
              <w:t>piirkonna eripäradega.</w:t>
            </w:r>
          </w:p>
          <w:p w:rsidR="005507CF" w:rsidRPr="000B1E11" w:rsidRDefault="005B6E3F" w:rsidP="00387AD3">
            <w:p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Enam</w:t>
            </w:r>
            <w:r w:rsidR="007B3F12">
              <w:rPr>
                <w:color w:val="000000"/>
                <w:lang w:val="et-EE"/>
              </w:rPr>
              <w:t>ik</w:t>
            </w:r>
            <w:r w:rsidR="00044402" w:rsidRPr="000B1E11">
              <w:rPr>
                <w:color w:val="000000"/>
                <w:lang w:val="et-EE"/>
              </w:rPr>
              <w:t xml:space="preserve"> indikaator</w:t>
            </w:r>
            <w:r>
              <w:rPr>
                <w:color w:val="000000"/>
                <w:lang w:val="et-EE"/>
              </w:rPr>
              <w:t>itest ja nende sihttaseme</w:t>
            </w:r>
            <w:r w:rsidR="00BA19B9">
              <w:rPr>
                <w:color w:val="000000"/>
                <w:lang w:val="et-EE"/>
              </w:rPr>
              <w:t>te</w:t>
            </w:r>
            <w:r>
              <w:rPr>
                <w:color w:val="000000"/>
                <w:lang w:val="et-EE"/>
              </w:rPr>
              <w:t xml:space="preserve">st on </w:t>
            </w:r>
            <w:r w:rsidR="00044402" w:rsidRPr="000B1E11">
              <w:rPr>
                <w:color w:val="000000"/>
                <w:lang w:val="et-EE"/>
              </w:rPr>
              <w:t>seoses eesmärkide ja meetmetega.</w:t>
            </w:r>
          </w:p>
        </w:tc>
        <w:tc>
          <w:tcPr>
            <w:tcW w:w="1276" w:type="dxa"/>
          </w:tcPr>
          <w:p w:rsidR="00290B76" w:rsidRPr="007F2F52" w:rsidRDefault="00290B76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290B76" w:rsidRPr="00FD75BD" w:rsidRDefault="00290B76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290B76" w:rsidRPr="00FD75BD" w:rsidTr="008A7268">
        <w:trPr>
          <w:cantSplit/>
        </w:trPr>
        <w:tc>
          <w:tcPr>
            <w:tcW w:w="606" w:type="dxa"/>
            <w:vMerge/>
          </w:tcPr>
          <w:p w:rsidR="00290B76" w:rsidRPr="00023BA2" w:rsidRDefault="00290B76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290B76" w:rsidRPr="009E67E5" w:rsidRDefault="00290B76" w:rsidP="00387AD3">
            <w:pPr>
              <w:jc w:val="both"/>
              <w:rPr>
                <w:bCs/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5507CF" w:rsidRPr="00593659" w:rsidRDefault="00290B76">
            <w:pPr>
              <w:jc w:val="both"/>
              <w:rPr>
                <w:color w:val="000000"/>
                <w:lang w:val="et-EE"/>
              </w:rPr>
            </w:pPr>
            <w:r w:rsidRPr="00593659">
              <w:rPr>
                <w:color w:val="000000"/>
                <w:lang w:val="et-EE"/>
              </w:rPr>
              <w:t xml:space="preserve">Strateegia </w:t>
            </w:r>
            <w:r w:rsidR="00150975" w:rsidRPr="005507CF">
              <w:rPr>
                <w:color w:val="000000"/>
                <w:lang w:val="et-EE"/>
              </w:rPr>
              <w:t xml:space="preserve">sisaldab </w:t>
            </w:r>
            <w:r w:rsidRPr="005507CF">
              <w:rPr>
                <w:color w:val="000000"/>
                <w:lang w:val="et-EE"/>
              </w:rPr>
              <w:t>selgeid saavuta</w:t>
            </w:r>
            <w:r w:rsidR="00387AD3" w:rsidRPr="005507CF">
              <w:rPr>
                <w:color w:val="000000"/>
                <w:lang w:val="et-EE"/>
              </w:rPr>
              <w:t>ta</w:t>
            </w:r>
            <w:r w:rsidRPr="005507CF">
              <w:rPr>
                <w:color w:val="000000"/>
                <w:lang w:val="et-EE"/>
              </w:rPr>
              <w:t xml:space="preserve">vaid eesmärke ja nende hierarhiat, sealhulgas </w:t>
            </w:r>
            <w:r w:rsidR="00650ABE">
              <w:rPr>
                <w:color w:val="000000"/>
                <w:lang w:val="et-EE"/>
              </w:rPr>
              <w:t xml:space="preserve">eesmärkidele ja meetmetele vastavate </w:t>
            </w:r>
            <w:r w:rsidRPr="005507CF">
              <w:rPr>
                <w:color w:val="000000"/>
                <w:lang w:val="et-EE"/>
              </w:rPr>
              <w:t>väljund- ja tulemusnäitajate selgeid ja mõõdetavaid sihttasemeid</w:t>
            </w:r>
            <w:r w:rsidRPr="00650ABE">
              <w:rPr>
                <w:color w:val="000000"/>
                <w:lang w:val="et-EE"/>
              </w:rPr>
              <w:t>.</w:t>
            </w:r>
            <w:r w:rsidRPr="00593659">
              <w:rPr>
                <w:color w:val="000000"/>
                <w:lang w:val="et-EE"/>
              </w:rPr>
              <w:t xml:space="preserve"> Strateegia eesmärgid </w:t>
            </w:r>
            <w:r w:rsidR="00D37073" w:rsidRPr="00593659">
              <w:rPr>
                <w:color w:val="000000"/>
                <w:lang w:val="et-EE"/>
              </w:rPr>
              <w:t xml:space="preserve">ja meetmed </w:t>
            </w:r>
            <w:r w:rsidRPr="00593659">
              <w:rPr>
                <w:color w:val="000000"/>
                <w:lang w:val="et-EE"/>
              </w:rPr>
              <w:t>tulenevad olukorra analüüsist</w:t>
            </w:r>
            <w:r w:rsidR="00197EA0" w:rsidRPr="00593659">
              <w:rPr>
                <w:color w:val="000000"/>
                <w:lang w:val="et-EE"/>
              </w:rPr>
              <w:t>,</w:t>
            </w:r>
            <w:r w:rsidRPr="00593659">
              <w:rPr>
                <w:color w:val="000000"/>
                <w:lang w:val="et-EE"/>
              </w:rPr>
              <w:t xml:space="preserve"> </w:t>
            </w:r>
            <w:r w:rsidR="00BA19B9">
              <w:rPr>
                <w:color w:val="000000"/>
                <w:lang w:val="et-EE"/>
              </w:rPr>
              <w:t xml:space="preserve">tegevuspiirkonna </w:t>
            </w:r>
            <w:r w:rsidRPr="00593659">
              <w:rPr>
                <w:color w:val="000000"/>
                <w:lang w:val="et-EE"/>
              </w:rPr>
              <w:t xml:space="preserve">arenguvajadustest </w:t>
            </w:r>
            <w:r w:rsidR="00197EA0" w:rsidRPr="00593659">
              <w:rPr>
                <w:color w:val="000000"/>
                <w:lang w:val="et-EE"/>
              </w:rPr>
              <w:t xml:space="preserve">ja SWOTist </w:t>
            </w:r>
            <w:r w:rsidRPr="00593659">
              <w:rPr>
                <w:color w:val="000000"/>
                <w:lang w:val="et-EE"/>
              </w:rPr>
              <w:t xml:space="preserve">ning on </w:t>
            </w:r>
            <w:r w:rsidR="00197EA0" w:rsidRPr="00593659">
              <w:rPr>
                <w:color w:val="000000"/>
                <w:lang w:val="et-EE"/>
              </w:rPr>
              <w:t xml:space="preserve">selgelt </w:t>
            </w:r>
            <w:r w:rsidRPr="00593659">
              <w:rPr>
                <w:color w:val="000000"/>
                <w:lang w:val="et-EE"/>
              </w:rPr>
              <w:t>kirjeldatud</w:t>
            </w:r>
            <w:r w:rsidR="006B3E9C" w:rsidRPr="00593659">
              <w:rPr>
                <w:color w:val="000000"/>
                <w:lang w:val="et-EE"/>
              </w:rPr>
              <w:t xml:space="preserve"> </w:t>
            </w:r>
            <w:r w:rsidR="00BA19B9">
              <w:rPr>
                <w:color w:val="000000"/>
                <w:lang w:val="et-EE"/>
              </w:rPr>
              <w:t>ja</w:t>
            </w:r>
            <w:r w:rsidR="00BA19B9" w:rsidRPr="00593659">
              <w:rPr>
                <w:color w:val="000000"/>
                <w:lang w:val="et-EE"/>
              </w:rPr>
              <w:t xml:space="preserve"> </w:t>
            </w:r>
            <w:r w:rsidR="006B3E9C" w:rsidRPr="00593659">
              <w:rPr>
                <w:color w:val="000000"/>
                <w:lang w:val="et-EE"/>
              </w:rPr>
              <w:t xml:space="preserve">seotud </w:t>
            </w:r>
            <w:r w:rsidR="002540FC">
              <w:rPr>
                <w:color w:val="000000"/>
                <w:lang w:val="et-EE"/>
              </w:rPr>
              <w:t>tegevus</w:t>
            </w:r>
            <w:r w:rsidRPr="00593659">
              <w:rPr>
                <w:color w:val="000000"/>
                <w:lang w:val="et-EE"/>
              </w:rPr>
              <w:t>piirkonna eripäradega.</w:t>
            </w:r>
          </w:p>
        </w:tc>
        <w:tc>
          <w:tcPr>
            <w:tcW w:w="1276" w:type="dxa"/>
          </w:tcPr>
          <w:p w:rsidR="00290B76" w:rsidRPr="007F2F52" w:rsidRDefault="00290B76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290B76" w:rsidRPr="00FD75BD" w:rsidRDefault="00290B76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387AD3" w:rsidTr="008A7268">
        <w:trPr>
          <w:cantSplit/>
        </w:trPr>
        <w:tc>
          <w:tcPr>
            <w:tcW w:w="606" w:type="dxa"/>
            <w:vMerge w:val="restart"/>
          </w:tcPr>
          <w:p w:rsidR="009213B7" w:rsidRPr="00F42169" w:rsidRDefault="009213B7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3.</w:t>
            </w:r>
          </w:p>
        </w:tc>
        <w:tc>
          <w:tcPr>
            <w:tcW w:w="2835" w:type="dxa"/>
            <w:vMerge w:val="restart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 xml:space="preserve">Strateegia </w:t>
            </w:r>
            <w:r w:rsidR="00711A14">
              <w:rPr>
                <w:color w:val="000000"/>
                <w:lang w:val="et-EE"/>
              </w:rPr>
              <w:t>sisemine</w:t>
            </w:r>
            <w:r w:rsidRPr="00FD75BD">
              <w:rPr>
                <w:color w:val="000000"/>
                <w:lang w:val="et-EE"/>
              </w:rPr>
              <w:t xml:space="preserve"> sidusus</w:t>
            </w:r>
          </w:p>
        </w:tc>
        <w:tc>
          <w:tcPr>
            <w:tcW w:w="8079" w:type="dxa"/>
          </w:tcPr>
          <w:p w:rsidR="009213B7" w:rsidRPr="00FD75BD" w:rsidRDefault="00F33DDC">
            <w:pPr>
              <w:jc w:val="both"/>
              <w:rPr>
                <w:sz w:val="20"/>
                <w:szCs w:val="20"/>
                <w:lang w:val="et-EE"/>
              </w:rPr>
            </w:pPr>
            <w:r w:rsidRPr="00C052E8">
              <w:rPr>
                <w:lang w:val="et-EE"/>
              </w:rPr>
              <w:t xml:space="preserve">Seosed </w:t>
            </w:r>
            <w:r w:rsidR="00711A14" w:rsidRPr="00C052E8">
              <w:rPr>
                <w:lang w:val="et-EE"/>
              </w:rPr>
              <w:t xml:space="preserve">olukorra analüüsi, </w:t>
            </w:r>
            <w:r w:rsidR="00E6162C" w:rsidRPr="00E6162C">
              <w:rPr>
                <w:lang w:val="et-EE"/>
              </w:rPr>
              <w:t xml:space="preserve">tegevuspiirkonna </w:t>
            </w:r>
            <w:r w:rsidRPr="00C052E8">
              <w:rPr>
                <w:lang w:val="et-EE"/>
              </w:rPr>
              <w:t xml:space="preserve">arenguvajaduste, sh SWOTi, strateegia eesmärkide, meetmete </w:t>
            </w:r>
            <w:r w:rsidRPr="00A53163">
              <w:rPr>
                <w:lang w:val="et-EE"/>
              </w:rPr>
              <w:t>ja projektide valikukriteeriumite vahel</w:t>
            </w:r>
            <w:r w:rsidRPr="00C052E8">
              <w:rPr>
                <w:lang w:val="et-EE"/>
              </w:rPr>
              <w:t xml:space="preserve"> </w:t>
            </w:r>
            <w:r w:rsidR="00711A14">
              <w:rPr>
                <w:lang w:val="et-EE"/>
              </w:rPr>
              <w:t>puudu</w:t>
            </w:r>
            <w:r w:rsidR="00387AD3">
              <w:rPr>
                <w:lang w:val="et-EE"/>
              </w:rPr>
              <w:t>vad</w:t>
            </w:r>
            <w:r w:rsidRPr="00C052E8">
              <w:rPr>
                <w:lang w:val="et-EE"/>
              </w:rPr>
              <w:t>.</w:t>
            </w:r>
            <w:r w:rsidR="00400F07">
              <w:rPr>
                <w:lang w:val="et-EE"/>
              </w:rPr>
              <w:t xml:space="preserve"> Strateegia u</w:t>
            </w:r>
            <w:r w:rsidR="00400F07" w:rsidRPr="00400F07">
              <w:rPr>
                <w:lang w:val="et-EE"/>
              </w:rPr>
              <w:t>uenduslikkus ja meetmete integreeritus on kirjeldatud üldsõnaliselt.</w:t>
            </w:r>
            <w:r w:rsidR="00400F07">
              <w:rPr>
                <w:lang w:val="et-EE"/>
              </w:rPr>
              <w:t xml:space="preserve"> </w:t>
            </w:r>
            <w:r w:rsidR="00400F07" w:rsidRPr="00400F07">
              <w:rPr>
                <w:lang w:val="et-EE"/>
              </w:rPr>
              <w:t xml:space="preserve">Strateegia erinevad osad ei ole omavahel </w:t>
            </w:r>
            <w:r w:rsidR="005C19C2">
              <w:rPr>
                <w:lang w:val="et-EE"/>
              </w:rPr>
              <w:t>seoses</w:t>
            </w:r>
            <w:r w:rsidR="00400F07" w:rsidRPr="00400F07">
              <w:rPr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FD75BD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Default="009213B7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9213B7" w:rsidRPr="00FD75BD" w:rsidRDefault="00711A14" w:rsidP="007918BE">
            <w:pPr>
              <w:jc w:val="both"/>
              <w:rPr>
                <w:color w:val="000000"/>
                <w:lang w:val="et-EE"/>
              </w:rPr>
            </w:pPr>
            <w:r w:rsidRPr="00C052E8">
              <w:rPr>
                <w:lang w:val="et-EE"/>
              </w:rPr>
              <w:t>Seosed olukorra analüüsi</w:t>
            </w:r>
            <w:r>
              <w:rPr>
                <w:lang w:val="et-EE"/>
              </w:rPr>
              <w:t xml:space="preserve">, </w:t>
            </w:r>
            <w:r w:rsidR="00E6162C" w:rsidRPr="00E6162C">
              <w:rPr>
                <w:lang w:val="et-EE"/>
              </w:rPr>
              <w:t xml:space="preserve">tegevuspiirkonna </w:t>
            </w:r>
            <w:r w:rsidRPr="00C052E8">
              <w:rPr>
                <w:lang w:val="et-EE"/>
              </w:rPr>
              <w:t>arenguvajaduste, sh SWOTi, strateegia eesmärkide, meetmete ja</w:t>
            </w:r>
            <w:r w:rsidR="000B1E11">
              <w:rPr>
                <w:lang w:val="et-EE"/>
              </w:rPr>
              <w:t xml:space="preserve"> projektide valikukriteeriumite</w:t>
            </w:r>
            <w:r w:rsidRPr="00C052E8">
              <w:rPr>
                <w:lang w:val="et-EE"/>
              </w:rPr>
              <w:t xml:space="preserve"> vahel on</w:t>
            </w:r>
            <w:r>
              <w:rPr>
                <w:lang w:val="et-EE"/>
              </w:rPr>
              <w:t xml:space="preserve"> </w:t>
            </w:r>
            <w:r w:rsidR="00353DAA" w:rsidRPr="005116E1">
              <w:rPr>
                <w:lang w:val="et-EE"/>
              </w:rPr>
              <w:t>nõrgad</w:t>
            </w:r>
            <w:r w:rsidR="009213B7" w:rsidRPr="00A26242">
              <w:rPr>
                <w:color w:val="000000" w:themeColor="text1"/>
                <w:lang w:val="et-EE"/>
              </w:rPr>
              <w:t>.</w:t>
            </w:r>
            <w:r w:rsidR="00400F07" w:rsidRPr="005272D5">
              <w:rPr>
                <w:lang w:val="et-EE"/>
              </w:rPr>
              <w:t xml:space="preserve"> </w:t>
            </w:r>
            <w:r w:rsidR="00400F07" w:rsidRPr="00400F07">
              <w:rPr>
                <w:color w:val="000000" w:themeColor="text1"/>
                <w:lang w:val="et-EE"/>
              </w:rPr>
              <w:t xml:space="preserve">Uuenduslikkus ja meetmete integreeritus on kirjeldatud </w:t>
            </w:r>
            <w:r w:rsidR="00400F07" w:rsidRPr="005116E1">
              <w:rPr>
                <w:color w:val="000000" w:themeColor="text1"/>
                <w:lang w:val="et-EE"/>
              </w:rPr>
              <w:t>vähesel</w:t>
            </w:r>
            <w:r w:rsidR="00400F07" w:rsidRPr="00400F07">
              <w:rPr>
                <w:color w:val="000000" w:themeColor="text1"/>
                <w:lang w:val="et-EE"/>
              </w:rPr>
              <w:t xml:space="preserve"> määral.</w:t>
            </w:r>
            <w:r w:rsidR="00353DAA">
              <w:rPr>
                <w:color w:val="000000" w:themeColor="text1"/>
                <w:lang w:val="et-EE"/>
              </w:rPr>
              <w:t xml:space="preserve"> </w:t>
            </w:r>
            <w:r w:rsidR="006E7CDC" w:rsidRPr="006E7CDC">
              <w:rPr>
                <w:lang w:val="et-EE"/>
              </w:rPr>
              <w:t xml:space="preserve">Strateegia erinevad osad on </w:t>
            </w:r>
            <w:r w:rsidR="007918BE" w:rsidRPr="005116E1">
              <w:rPr>
                <w:lang w:val="et-EE"/>
              </w:rPr>
              <w:t>nõrgas</w:t>
            </w:r>
            <w:r w:rsidR="006E7CDC" w:rsidRPr="006E7CDC">
              <w:rPr>
                <w:lang w:val="et-EE"/>
              </w:rPr>
              <w:t xml:space="preserve"> omavahel</w:t>
            </w:r>
            <w:r w:rsidR="007918BE">
              <w:rPr>
                <w:lang w:val="et-EE"/>
              </w:rPr>
              <w:t>ises</w:t>
            </w:r>
            <w:r w:rsidR="006E7CDC" w:rsidRPr="006E7CDC">
              <w:rPr>
                <w:lang w:val="et-EE"/>
              </w:rPr>
              <w:t xml:space="preserve"> s</w:t>
            </w:r>
            <w:r w:rsidR="007918BE">
              <w:rPr>
                <w:lang w:val="et-EE"/>
              </w:rPr>
              <w:t>eoses</w:t>
            </w:r>
            <w:r w:rsidR="006E7CDC" w:rsidRPr="006E7CDC">
              <w:rPr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BF574D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Default="009213B7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9213B7" w:rsidRPr="00FD75BD" w:rsidRDefault="00711A14">
            <w:pPr>
              <w:jc w:val="both"/>
              <w:rPr>
                <w:color w:val="000000"/>
                <w:lang w:val="et-EE"/>
              </w:rPr>
            </w:pPr>
            <w:r w:rsidRPr="002A7F5D">
              <w:rPr>
                <w:lang w:val="et-EE"/>
              </w:rPr>
              <w:t xml:space="preserve">Seosed olukorra analüüsi, </w:t>
            </w:r>
            <w:r w:rsidR="00E6162C" w:rsidRPr="00E6162C">
              <w:rPr>
                <w:lang w:val="et-EE"/>
              </w:rPr>
              <w:t xml:space="preserve">tegevuspiirkonna </w:t>
            </w:r>
            <w:r w:rsidRPr="002A7F5D">
              <w:rPr>
                <w:lang w:val="et-EE"/>
              </w:rPr>
              <w:t xml:space="preserve">arenguvajaduste, sh SWOTi, strateegia eesmärkide, meetmete ja </w:t>
            </w:r>
            <w:r w:rsidR="00806C46">
              <w:rPr>
                <w:lang w:val="et-EE"/>
              </w:rPr>
              <w:t>projektide valikukriteeriumite</w:t>
            </w:r>
            <w:r>
              <w:rPr>
                <w:lang w:val="et-EE"/>
              </w:rPr>
              <w:t xml:space="preserve"> </w:t>
            </w:r>
            <w:r w:rsidR="00400D21">
              <w:rPr>
                <w:lang w:val="et-EE"/>
              </w:rPr>
              <w:t>v</w:t>
            </w:r>
            <w:r w:rsidRPr="002A7F5D">
              <w:rPr>
                <w:lang w:val="et-EE"/>
              </w:rPr>
              <w:t>ahel on</w:t>
            </w:r>
            <w:r w:rsidR="00353DAA">
              <w:rPr>
                <w:lang w:val="et-EE"/>
              </w:rPr>
              <w:t xml:space="preserve"> </w:t>
            </w:r>
            <w:r w:rsidR="00387AD3" w:rsidRPr="005116E1">
              <w:rPr>
                <w:lang w:val="et-EE"/>
              </w:rPr>
              <w:t>olulisel</w:t>
            </w:r>
            <w:r w:rsidR="00387AD3">
              <w:rPr>
                <w:lang w:val="et-EE"/>
              </w:rPr>
              <w:t xml:space="preserve"> määral olemas</w:t>
            </w:r>
            <w:r w:rsidR="009213B7" w:rsidRPr="00A26242">
              <w:rPr>
                <w:color w:val="000000" w:themeColor="text1"/>
                <w:lang w:val="et-EE"/>
              </w:rPr>
              <w:t>.</w:t>
            </w:r>
            <w:r w:rsidR="00400F07" w:rsidRPr="005272D5">
              <w:rPr>
                <w:lang w:val="et-EE"/>
              </w:rPr>
              <w:t xml:space="preserve"> </w:t>
            </w:r>
            <w:r w:rsidR="007918BE" w:rsidRPr="007918BE">
              <w:rPr>
                <w:lang w:val="et-EE"/>
              </w:rPr>
              <w:t>Strateegia</w:t>
            </w:r>
            <w:r w:rsidR="007918BE">
              <w:t xml:space="preserve"> </w:t>
            </w:r>
            <w:r w:rsidR="007918BE" w:rsidRPr="00400F07">
              <w:rPr>
                <w:color w:val="000000" w:themeColor="text1"/>
                <w:lang w:val="et-EE"/>
              </w:rPr>
              <w:t>uuenduslikkus</w:t>
            </w:r>
            <w:r w:rsidR="00400F07" w:rsidRPr="00400F07">
              <w:rPr>
                <w:color w:val="000000" w:themeColor="text1"/>
                <w:lang w:val="et-EE"/>
              </w:rPr>
              <w:t xml:space="preserve"> ja meetmete integreeritus on kirjeld</w:t>
            </w:r>
            <w:r w:rsidR="007918BE">
              <w:rPr>
                <w:color w:val="000000" w:themeColor="text1"/>
                <w:lang w:val="et-EE"/>
              </w:rPr>
              <w:t>atud arusaadavalt</w:t>
            </w:r>
            <w:r w:rsidR="00400F07" w:rsidRPr="00400F07">
              <w:rPr>
                <w:color w:val="000000" w:themeColor="text1"/>
                <w:lang w:val="et-EE"/>
              </w:rPr>
              <w:t>.</w:t>
            </w:r>
            <w:r w:rsidR="00353DAA">
              <w:rPr>
                <w:lang w:val="et-EE"/>
              </w:rPr>
              <w:t xml:space="preserve"> </w:t>
            </w:r>
            <w:r w:rsidR="006E7CDC" w:rsidRPr="006E7CDC">
              <w:rPr>
                <w:lang w:val="et-EE"/>
              </w:rPr>
              <w:t xml:space="preserve">Strateegia erinevad osad on </w:t>
            </w:r>
            <w:r w:rsidR="007918BE" w:rsidRPr="005116E1">
              <w:rPr>
                <w:lang w:val="et-EE"/>
              </w:rPr>
              <w:t>olulises</w:t>
            </w:r>
            <w:r w:rsidR="006E7CDC" w:rsidRPr="006E7CDC">
              <w:rPr>
                <w:lang w:val="et-EE"/>
              </w:rPr>
              <w:t xml:space="preserve"> osas omavahel </w:t>
            </w:r>
            <w:r w:rsidR="005C19C2">
              <w:rPr>
                <w:lang w:val="et-EE"/>
              </w:rPr>
              <w:t>seoses</w:t>
            </w:r>
            <w:r w:rsidR="006E7CDC" w:rsidRPr="006E7CDC">
              <w:rPr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711A14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Default="009213B7" w:rsidP="00387AD3">
            <w:pPr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9213B7" w:rsidRPr="00FD75BD" w:rsidRDefault="007C790B">
            <w:pPr>
              <w:jc w:val="both"/>
              <w:rPr>
                <w:color w:val="000000"/>
                <w:lang w:val="et-EE"/>
              </w:rPr>
            </w:pPr>
            <w:r>
              <w:rPr>
                <w:lang w:val="et-EE"/>
              </w:rPr>
              <w:t>S</w:t>
            </w:r>
            <w:r w:rsidR="00353DAA">
              <w:rPr>
                <w:lang w:val="et-EE"/>
              </w:rPr>
              <w:t>eos</w:t>
            </w:r>
            <w:r w:rsidR="00650AC1">
              <w:rPr>
                <w:lang w:val="et-EE"/>
              </w:rPr>
              <w:t>ed</w:t>
            </w:r>
            <w:r w:rsidR="00353DAA" w:rsidRPr="006C6C4C">
              <w:rPr>
                <w:lang w:val="et-EE"/>
              </w:rPr>
              <w:t xml:space="preserve"> olukorra analüüsi, </w:t>
            </w:r>
            <w:r w:rsidR="00E6162C" w:rsidRPr="00E6162C">
              <w:rPr>
                <w:lang w:val="et-EE"/>
              </w:rPr>
              <w:t xml:space="preserve">tegevuspiirkonna </w:t>
            </w:r>
            <w:r w:rsidR="00353DAA" w:rsidRPr="006C6C4C">
              <w:rPr>
                <w:lang w:val="et-EE"/>
              </w:rPr>
              <w:t>arenguvajaduste, sh SWOTi, strateegia eesmärkide, meetmete ja projektide valikukriteeriumite </w:t>
            </w:r>
            <w:r w:rsidR="00353DAA">
              <w:rPr>
                <w:lang w:val="et-EE"/>
              </w:rPr>
              <w:t>vahel</w:t>
            </w:r>
            <w:r>
              <w:rPr>
                <w:lang w:val="et-EE"/>
              </w:rPr>
              <w:t xml:space="preserve"> on selged ja loogilised</w:t>
            </w:r>
            <w:r w:rsidR="00353DAA">
              <w:rPr>
                <w:lang w:val="et-EE"/>
              </w:rPr>
              <w:t>.</w:t>
            </w:r>
            <w:r w:rsidR="00400F07" w:rsidRPr="003F7124">
              <w:rPr>
                <w:lang w:val="et-EE"/>
              </w:rPr>
              <w:t xml:space="preserve"> </w:t>
            </w:r>
            <w:r w:rsidR="00400F07" w:rsidRPr="00400F07">
              <w:rPr>
                <w:lang w:val="et-EE"/>
              </w:rPr>
              <w:t>Uuenduslikkus ja meetmete integreeritus on kirjeldatud arusaadavalt.</w:t>
            </w:r>
            <w:r w:rsidR="00353DAA">
              <w:rPr>
                <w:lang w:val="et-EE"/>
              </w:rPr>
              <w:t xml:space="preserve"> </w:t>
            </w:r>
            <w:r w:rsidR="006E7CDC" w:rsidRPr="006E7CDC">
              <w:rPr>
                <w:lang w:val="et-EE"/>
              </w:rPr>
              <w:t xml:space="preserve">Strateegia erinevad osad on omavahel </w:t>
            </w:r>
            <w:r w:rsidR="005C19C2">
              <w:rPr>
                <w:lang w:val="et-EE"/>
              </w:rPr>
              <w:t>seoses</w:t>
            </w:r>
            <w:r w:rsidR="006E7CDC" w:rsidRPr="006E7CDC">
              <w:rPr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711A14" w:rsidTr="008A7268">
        <w:trPr>
          <w:cantSplit/>
        </w:trPr>
        <w:tc>
          <w:tcPr>
            <w:tcW w:w="606" w:type="dxa"/>
            <w:vMerge w:val="restart"/>
          </w:tcPr>
          <w:p w:rsidR="009213B7" w:rsidRPr="00F42169" w:rsidRDefault="009213B7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4.</w:t>
            </w:r>
          </w:p>
        </w:tc>
        <w:tc>
          <w:tcPr>
            <w:tcW w:w="2835" w:type="dxa"/>
            <w:vMerge w:val="restart"/>
          </w:tcPr>
          <w:p w:rsidR="009213B7" w:rsidRPr="00FD75BD" w:rsidRDefault="006A6FAA" w:rsidP="00806C46">
            <w:pPr>
              <w:ind w:left="-108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>Kohaliku tegevusgrupi t</w:t>
            </w:r>
            <w:r w:rsidR="009213B7">
              <w:rPr>
                <w:color w:val="000000"/>
                <w:lang w:val="et-EE"/>
              </w:rPr>
              <w:t>egevusp</w:t>
            </w:r>
            <w:r w:rsidR="009213B7" w:rsidRPr="00FD75BD">
              <w:rPr>
                <w:color w:val="000000"/>
                <w:lang w:val="et-EE"/>
              </w:rPr>
              <w:t>iirkonnas olulist mõju o</w:t>
            </w:r>
            <w:r w:rsidR="000B1E11">
              <w:rPr>
                <w:color w:val="000000"/>
                <w:lang w:val="et-EE"/>
              </w:rPr>
              <w:t>mavate sekkumistega arvestamine</w:t>
            </w:r>
          </w:p>
        </w:tc>
        <w:tc>
          <w:tcPr>
            <w:tcW w:w="8079" w:type="dxa"/>
          </w:tcPr>
          <w:p w:rsidR="009213B7" w:rsidRPr="00FD75BD" w:rsidRDefault="002A7F5D" w:rsidP="000D2217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 w:themeColor="text1"/>
                <w:lang w:val="et-EE"/>
              </w:rPr>
              <w:t>Arv</w:t>
            </w:r>
            <w:r w:rsidR="00FB789A">
              <w:rPr>
                <w:color w:val="000000" w:themeColor="text1"/>
                <w:lang w:val="et-EE"/>
              </w:rPr>
              <w:t xml:space="preserve">estatud on </w:t>
            </w:r>
            <w:r w:rsidR="007C790B">
              <w:rPr>
                <w:color w:val="000000" w:themeColor="text1"/>
                <w:lang w:val="et-EE"/>
              </w:rPr>
              <w:t xml:space="preserve">ainult </w:t>
            </w:r>
            <w:r w:rsidR="00BC4237" w:rsidRPr="00BC4237">
              <w:rPr>
                <w:lang w:val="et-EE"/>
              </w:rPr>
              <w:t xml:space="preserve">„Eesti maaelu arengukava 2014–2020” (edaspidi </w:t>
            </w:r>
            <w:r w:rsidR="00BC4237" w:rsidRPr="00BC4237">
              <w:rPr>
                <w:i/>
                <w:lang w:val="et-EE"/>
              </w:rPr>
              <w:t>arengukava</w:t>
            </w:r>
            <w:r w:rsidR="00BC4237" w:rsidRPr="00BC4237">
              <w:rPr>
                <w:lang w:val="et-EE"/>
              </w:rPr>
              <w:t>)</w:t>
            </w:r>
            <w:r w:rsidR="005220E9">
              <w:rPr>
                <w:lang w:val="et-EE"/>
              </w:rPr>
              <w:t xml:space="preserve"> </w:t>
            </w:r>
            <w:r w:rsidR="007C790B">
              <w:rPr>
                <w:color w:val="000000" w:themeColor="text1"/>
                <w:lang w:val="et-EE"/>
              </w:rPr>
              <w:t>sekkumistega</w:t>
            </w:r>
            <w:r w:rsidR="00387AD3">
              <w:rPr>
                <w:color w:val="000000" w:themeColor="text1"/>
                <w:lang w:val="et-EE"/>
              </w:rPr>
              <w:t>. M</w:t>
            </w:r>
            <w:r w:rsidR="00FB789A">
              <w:rPr>
                <w:color w:val="000000" w:themeColor="text1"/>
                <w:lang w:val="et-EE"/>
              </w:rPr>
              <w:t>uude arengudokumentidega arvestamine on formaalne või see ei selgu strateegiast.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FD75BD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  <w:vAlign w:val="center"/>
          </w:tcPr>
          <w:p w:rsidR="009213B7" w:rsidRPr="00FD75BD" w:rsidRDefault="003F529C" w:rsidP="00BC4237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 w:themeColor="text1"/>
                <w:lang w:val="et-EE"/>
              </w:rPr>
              <w:t xml:space="preserve">Arvestatud on </w:t>
            </w:r>
            <w:r w:rsidR="00BC4237">
              <w:rPr>
                <w:color w:val="000000" w:themeColor="text1"/>
                <w:lang w:val="et-EE"/>
              </w:rPr>
              <w:t>arengukava</w:t>
            </w:r>
            <w:r w:rsidR="007C790B">
              <w:rPr>
                <w:color w:val="000000" w:themeColor="text1"/>
                <w:lang w:val="et-EE"/>
              </w:rPr>
              <w:t xml:space="preserve"> sekkumistega</w:t>
            </w:r>
            <w:r w:rsidR="00FB789A">
              <w:rPr>
                <w:color w:val="000000" w:themeColor="text1"/>
                <w:lang w:val="et-EE"/>
              </w:rPr>
              <w:t xml:space="preserve"> </w:t>
            </w:r>
            <w:r w:rsidR="00FB789A" w:rsidRPr="0094290F">
              <w:rPr>
                <w:color w:val="000000" w:themeColor="text1"/>
                <w:lang w:val="et-EE"/>
              </w:rPr>
              <w:t xml:space="preserve">ning </w:t>
            </w:r>
            <w:r w:rsidR="0094290F" w:rsidRPr="0094290F">
              <w:rPr>
                <w:color w:val="000000" w:themeColor="text1"/>
                <w:lang w:val="et-EE"/>
              </w:rPr>
              <w:t xml:space="preserve">mõne </w:t>
            </w:r>
            <w:r w:rsidR="007C790B">
              <w:rPr>
                <w:color w:val="000000" w:themeColor="text1"/>
                <w:lang w:val="et-EE"/>
              </w:rPr>
              <w:t xml:space="preserve">üksiku </w:t>
            </w:r>
            <w:r w:rsidR="0094290F" w:rsidRPr="0094290F">
              <w:rPr>
                <w:color w:val="000000" w:themeColor="text1"/>
                <w:lang w:val="et-EE"/>
              </w:rPr>
              <w:t xml:space="preserve">teise </w:t>
            </w:r>
            <w:r w:rsidR="002A7F5D" w:rsidRPr="0094290F">
              <w:rPr>
                <w:color w:val="000000" w:themeColor="text1"/>
                <w:lang w:val="et-EE"/>
              </w:rPr>
              <w:t>riiklik</w:t>
            </w:r>
            <w:r>
              <w:rPr>
                <w:color w:val="000000" w:themeColor="text1"/>
                <w:lang w:val="et-EE"/>
              </w:rPr>
              <w:t>u</w:t>
            </w:r>
            <w:r w:rsidR="002A7F5D" w:rsidRPr="0094290F">
              <w:rPr>
                <w:color w:val="000000" w:themeColor="text1"/>
                <w:lang w:val="et-EE"/>
              </w:rPr>
              <w:t xml:space="preserve"> </w:t>
            </w:r>
            <w:r>
              <w:rPr>
                <w:color w:val="000000" w:themeColor="text1"/>
                <w:lang w:val="et-EE"/>
              </w:rPr>
              <w:t>või maakondliku</w:t>
            </w:r>
            <w:r w:rsidR="00FB789A">
              <w:rPr>
                <w:color w:val="000000" w:themeColor="text1"/>
                <w:lang w:val="et-EE"/>
              </w:rPr>
              <w:t xml:space="preserve"> </w:t>
            </w:r>
            <w:r w:rsidR="002A7F5D">
              <w:rPr>
                <w:color w:val="000000" w:themeColor="text1"/>
                <w:lang w:val="et-EE"/>
              </w:rPr>
              <w:t>arengudokumen</w:t>
            </w:r>
            <w:r w:rsidR="00387AD3">
              <w:rPr>
                <w:color w:val="000000" w:themeColor="text1"/>
                <w:lang w:val="et-EE"/>
              </w:rPr>
              <w:t>d</w:t>
            </w:r>
            <w:r w:rsidR="002A7F5D">
              <w:rPr>
                <w:color w:val="000000" w:themeColor="text1"/>
                <w:lang w:val="et-EE"/>
              </w:rPr>
              <w:t>iga</w:t>
            </w:r>
            <w:r w:rsidR="009213B7" w:rsidRPr="00A26242">
              <w:rPr>
                <w:color w:val="000000" w:themeColor="text1"/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FD75BD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9213B7" w:rsidRPr="00FD75BD" w:rsidRDefault="00877114" w:rsidP="00BC4237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 w:themeColor="text1"/>
                <w:lang w:val="et-EE"/>
              </w:rPr>
              <w:t xml:space="preserve">Arvestatud on </w:t>
            </w:r>
            <w:r w:rsidR="00BC4237">
              <w:rPr>
                <w:color w:val="000000" w:themeColor="text1"/>
                <w:lang w:val="et-EE"/>
              </w:rPr>
              <w:t>arengukava</w:t>
            </w:r>
            <w:r w:rsidR="007C790B">
              <w:rPr>
                <w:color w:val="000000" w:themeColor="text1"/>
                <w:lang w:val="et-EE"/>
              </w:rPr>
              <w:t xml:space="preserve"> sekkumistega</w:t>
            </w:r>
            <w:r w:rsidR="00FB789A">
              <w:rPr>
                <w:color w:val="000000" w:themeColor="text1"/>
                <w:lang w:val="et-EE"/>
              </w:rPr>
              <w:t xml:space="preserve"> ning </w:t>
            </w:r>
            <w:r w:rsidR="0094290F" w:rsidRPr="005116E1">
              <w:rPr>
                <w:color w:val="000000" w:themeColor="text1"/>
                <w:lang w:val="et-EE"/>
              </w:rPr>
              <w:t>osaliselt</w:t>
            </w:r>
            <w:r w:rsidR="0094290F">
              <w:rPr>
                <w:color w:val="000000" w:themeColor="text1"/>
                <w:lang w:val="et-EE"/>
              </w:rPr>
              <w:t xml:space="preserve"> </w:t>
            </w:r>
            <w:r w:rsidR="00FB789A">
              <w:rPr>
                <w:color w:val="000000" w:themeColor="text1"/>
                <w:lang w:val="et-EE"/>
              </w:rPr>
              <w:t xml:space="preserve">teiste </w:t>
            </w:r>
            <w:r>
              <w:rPr>
                <w:color w:val="000000" w:themeColor="text1"/>
                <w:lang w:val="et-EE"/>
              </w:rPr>
              <w:t xml:space="preserve">asjakohaste </w:t>
            </w:r>
            <w:r w:rsidR="00FB789A">
              <w:rPr>
                <w:color w:val="000000" w:themeColor="text1"/>
                <w:lang w:val="et-EE"/>
              </w:rPr>
              <w:t>riiklike ja maakondlike arengudokumentidega</w:t>
            </w:r>
            <w:r w:rsidR="009213B7" w:rsidRPr="00A26242">
              <w:rPr>
                <w:color w:val="000000" w:themeColor="text1"/>
                <w:lang w:val="et-EE"/>
              </w:rPr>
              <w:t>.</w:t>
            </w:r>
          </w:p>
        </w:tc>
        <w:tc>
          <w:tcPr>
            <w:tcW w:w="1276" w:type="dxa"/>
          </w:tcPr>
          <w:p w:rsidR="009213B7" w:rsidRPr="007F2F52" w:rsidRDefault="00FB789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9213B7" w:rsidRPr="0094290F" w:rsidTr="008A7268">
        <w:trPr>
          <w:cantSplit/>
        </w:trPr>
        <w:tc>
          <w:tcPr>
            <w:tcW w:w="606" w:type="dxa"/>
            <w:vMerge/>
          </w:tcPr>
          <w:p w:rsidR="009213B7" w:rsidRPr="00023BA2" w:rsidRDefault="009213B7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9213B7" w:rsidRPr="00FD75BD" w:rsidRDefault="00FB789A" w:rsidP="00BC4237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 w:themeColor="text1"/>
                <w:lang w:val="et-EE"/>
              </w:rPr>
              <w:t xml:space="preserve">Arvestatud </w:t>
            </w:r>
            <w:r w:rsidRPr="00877114">
              <w:rPr>
                <w:color w:val="000000" w:themeColor="text1"/>
                <w:lang w:val="et-EE"/>
              </w:rPr>
              <w:t xml:space="preserve">on </w:t>
            </w:r>
            <w:r w:rsidR="00BC4237">
              <w:rPr>
                <w:color w:val="000000" w:themeColor="text1"/>
                <w:lang w:val="et-EE"/>
              </w:rPr>
              <w:t>arengukava</w:t>
            </w:r>
            <w:r w:rsidR="0094290F">
              <w:rPr>
                <w:color w:val="000000" w:themeColor="text1"/>
                <w:lang w:val="et-EE"/>
              </w:rPr>
              <w:t xml:space="preserve"> ning </w:t>
            </w:r>
            <w:r w:rsidR="007C790B" w:rsidRPr="005116E1">
              <w:rPr>
                <w:color w:val="000000" w:themeColor="text1"/>
                <w:lang w:val="et-EE"/>
              </w:rPr>
              <w:t>enamiku</w:t>
            </w:r>
            <w:r w:rsidR="007C790B">
              <w:rPr>
                <w:color w:val="000000" w:themeColor="text1"/>
                <w:lang w:val="et-EE"/>
              </w:rPr>
              <w:t xml:space="preserve"> </w:t>
            </w:r>
            <w:r w:rsidR="00806C46">
              <w:rPr>
                <w:color w:val="000000" w:themeColor="text1"/>
                <w:lang w:val="et-EE"/>
              </w:rPr>
              <w:t>asjakohaste</w:t>
            </w:r>
            <w:r w:rsidRPr="0094290F">
              <w:rPr>
                <w:color w:val="000000" w:themeColor="text1"/>
                <w:lang w:val="et-EE"/>
              </w:rPr>
              <w:t xml:space="preserve"> riiklike </w:t>
            </w:r>
            <w:r w:rsidR="0094290F">
              <w:rPr>
                <w:color w:val="000000" w:themeColor="text1"/>
                <w:lang w:val="et-EE"/>
              </w:rPr>
              <w:t>ja</w:t>
            </w:r>
            <w:r>
              <w:rPr>
                <w:color w:val="000000" w:themeColor="text1"/>
                <w:lang w:val="et-EE"/>
              </w:rPr>
              <w:t xml:space="preserve"> maakondlike arengudokumentidega</w:t>
            </w:r>
            <w:r w:rsidR="009213B7" w:rsidRPr="00A26242">
              <w:rPr>
                <w:color w:val="000000" w:themeColor="text1"/>
                <w:lang w:val="et-EE"/>
              </w:rPr>
              <w:t>.</w:t>
            </w:r>
            <w:r w:rsidR="00C905E8">
              <w:rPr>
                <w:color w:val="000000" w:themeColor="text1"/>
                <w:lang w:val="et-EE"/>
              </w:rPr>
              <w:t xml:space="preserve"> Seosed on selgelt välja toodud.</w:t>
            </w:r>
          </w:p>
        </w:tc>
        <w:tc>
          <w:tcPr>
            <w:tcW w:w="1276" w:type="dxa"/>
          </w:tcPr>
          <w:p w:rsidR="009213B7" w:rsidRPr="007F2F52" w:rsidRDefault="009213B7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9213B7" w:rsidRPr="00FD75BD" w:rsidRDefault="009213B7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94290F" w:rsidTr="008A7268">
        <w:trPr>
          <w:cantSplit/>
        </w:trPr>
        <w:tc>
          <w:tcPr>
            <w:tcW w:w="606" w:type="dxa"/>
            <w:vMerge w:val="restart"/>
          </w:tcPr>
          <w:p w:rsidR="00860E60" w:rsidRPr="00F42169" w:rsidRDefault="00860E60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5.</w:t>
            </w:r>
          </w:p>
        </w:tc>
        <w:tc>
          <w:tcPr>
            <w:tcW w:w="2835" w:type="dxa"/>
            <w:vMerge w:val="restart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  <w:r w:rsidRPr="00FD75BD">
              <w:rPr>
                <w:color w:val="000000"/>
                <w:lang w:val="et-EE"/>
              </w:rPr>
              <w:t>Koostöö teiste partnerlustega</w:t>
            </w:r>
          </w:p>
        </w:tc>
        <w:tc>
          <w:tcPr>
            <w:tcW w:w="8079" w:type="dxa"/>
          </w:tcPr>
          <w:p w:rsidR="00AC4E77" w:rsidRPr="00FD75BD" w:rsidRDefault="00860E60" w:rsidP="001603BD">
            <w:pPr>
              <w:jc w:val="both"/>
              <w:rPr>
                <w:sz w:val="20"/>
                <w:szCs w:val="20"/>
                <w:lang w:val="et-EE"/>
              </w:rPr>
            </w:pPr>
            <w:r w:rsidRPr="00BA759D">
              <w:rPr>
                <w:color w:val="000000"/>
                <w:lang w:val="et-EE"/>
              </w:rPr>
              <w:t>Koostöö</w:t>
            </w:r>
            <w:r w:rsidR="00F968D8">
              <w:rPr>
                <w:color w:val="000000"/>
                <w:lang w:val="et-EE"/>
              </w:rPr>
              <w:t>d</w:t>
            </w:r>
            <w:r w:rsidRPr="00BA759D">
              <w:rPr>
                <w:color w:val="000000"/>
                <w:lang w:val="et-EE"/>
              </w:rPr>
              <w:t xml:space="preserve"> teiste </w:t>
            </w:r>
            <w:r w:rsidRPr="00082D5B">
              <w:rPr>
                <w:color w:val="000000"/>
                <w:lang w:val="et-EE"/>
              </w:rPr>
              <w:t>partnerlustega</w:t>
            </w:r>
            <w:r w:rsidR="00F968D8" w:rsidRPr="00082D5B">
              <w:rPr>
                <w:color w:val="000000"/>
                <w:lang w:val="et-EE"/>
              </w:rPr>
              <w:t xml:space="preserve"> </w:t>
            </w:r>
            <w:r w:rsidR="00082D5B" w:rsidRPr="005B2587">
              <w:rPr>
                <w:color w:val="000000"/>
                <w:lang w:val="et-EE"/>
              </w:rPr>
              <w:t xml:space="preserve">ei ole </w:t>
            </w:r>
            <w:r w:rsidR="00082D5B">
              <w:rPr>
                <w:color w:val="000000"/>
                <w:lang w:val="et-EE"/>
              </w:rPr>
              <w:t xml:space="preserve">arusaadavalt kirjeldatud. 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FD75BD" w:rsidTr="008A7268">
        <w:trPr>
          <w:cantSplit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860E60" w:rsidRPr="00FD75BD" w:rsidRDefault="001603BD" w:rsidP="007C790B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860E60" w:rsidRPr="00BA759D">
              <w:rPr>
                <w:color w:val="000000"/>
                <w:lang w:val="et-EE"/>
              </w:rPr>
              <w:t xml:space="preserve">eiste partnerlustega on kavandatud </w:t>
            </w:r>
            <w:r w:rsidR="007C790B" w:rsidRPr="00BA759D">
              <w:rPr>
                <w:color w:val="000000"/>
                <w:lang w:val="et-EE"/>
              </w:rPr>
              <w:t>rii</w:t>
            </w:r>
            <w:r w:rsidR="007C790B">
              <w:rPr>
                <w:color w:val="000000"/>
                <w:lang w:val="et-EE"/>
              </w:rPr>
              <w:t>gisisene</w:t>
            </w:r>
            <w:r w:rsidR="007C790B" w:rsidRPr="00BA759D">
              <w:rPr>
                <w:color w:val="000000"/>
                <w:lang w:val="et-EE"/>
              </w:rPr>
              <w:t xml:space="preserve"> </w:t>
            </w:r>
            <w:r>
              <w:rPr>
                <w:color w:val="000000"/>
                <w:lang w:val="et-EE"/>
              </w:rPr>
              <w:t>k</w:t>
            </w:r>
            <w:r w:rsidRPr="00BA759D">
              <w:rPr>
                <w:color w:val="000000"/>
                <w:lang w:val="et-EE"/>
              </w:rPr>
              <w:t>oostöö</w:t>
            </w:r>
            <w:r w:rsidR="0024044E" w:rsidRPr="00BA759D">
              <w:rPr>
                <w:color w:val="000000"/>
                <w:lang w:val="et-EE"/>
              </w:rPr>
              <w:t>.</w:t>
            </w:r>
            <w:r w:rsidR="00806C46">
              <w:rPr>
                <w:color w:val="000000"/>
                <w:lang w:val="et-EE"/>
              </w:rPr>
              <w:t xml:space="preserve"> Strateegias on nimeta</w:t>
            </w:r>
            <w:r w:rsidR="0024044E">
              <w:rPr>
                <w:color w:val="000000"/>
                <w:lang w:val="et-EE"/>
              </w:rPr>
              <w:t xml:space="preserve">tud </w:t>
            </w:r>
            <w:r w:rsidR="00F968D8">
              <w:rPr>
                <w:color w:val="000000"/>
                <w:lang w:val="et-EE"/>
              </w:rPr>
              <w:t xml:space="preserve">ainult </w:t>
            </w:r>
            <w:r w:rsidR="0024044E">
              <w:rPr>
                <w:color w:val="000000"/>
                <w:lang w:val="et-EE"/>
              </w:rPr>
              <w:t>koostöö eesmärgid või valdkonnad</w:t>
            </w:r>
            <w:r w:rsidR="00F968D8">
              <w:rPr>
                <w:color w:val="000000"/>
                <w:lang w:val="et-EE"/>
              </w:rPr>
              <w:t>.</w:t>
            </w:r>
            <w:r w:rsidR="00AC4E77">
              <w:rPr>
                <w:color w:val="000000"/>
                <w:lang w:val="et-EE"/>
              </w:rPr>
              <w:t xml:space="preserve"> </w:t>
            </w:r>
            <w:r>
              <w:rPr>
                <w:color w:val="000000"/>
                <w:lang w:val="et-EE"/>
              </w:rPr>
              <w:t>Riigivälist koostööd ei ole planeeritud.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F968D8" w:rsidTr="008A7268">
        <w:trPr>
          <w:cantSplit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860E60" w:rsidRPr="00FD75BD" w:rsidRDefault="001603BD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860E60" w:rsidRPr="00BA759D">
              <w:rPr>
                <w:color w:val="000000"/>
                <w:lang w:val="et-EE"/>
              </w:rPr>
              <w:t xml:space="preserve">eiste partnerlustega on </w:t>
            </w:r>
            <w:r w:rsidR="00F968D8">
              <w:rPr>
                <w:color w:val="000000"/>
                <w:lang w:val="et-EE"/>
              </w:rPr>
              <w:t xml:space="preserve">lisaks </w:t>
            </w:r>
            <w:r w:rsidR="00806C46">
              <w:rPr>
                <w:color w:val="000000"/>
                <w:lang w:val="et-EE"/>
              </w:rPr>
              <w:t xml:space="preserve">riigisisesele koostööle </w:t>
            </w:r>
            <w:r w:rsidR="00A91E22" w:rsidRPr="00BA759D">
              <w:rPr>
                <w:color w:val="000000"/>
                <w:lang w:val="et-EE"/>
              </w:rPr>
              <w:t>kavandatud</w:t>
            </w:r>
            <w:r w:rsidR="00A91E22">
              <w:rPr>
                <w:color w:val="000000"/>
                <w:lang w:val="et-EE"/>
              </w:rPr>
              <w:t xml:space="preserve"> </w:t>
            </w:r>
            <w:r w:rsidR="00806C46">
              <w:rPr>
                <w:color w:val="000000"/>
                <w:lang w:val="et-EE"/>
              </w:rPr>
              <w:t xml:space="preserve">ka </w:t>
            </w:r>
            <w:r w:rsidR="00860E60" w:rsidRPr="00BA759D">
              <w:rPr>
                <w:color w:val="000000"/>
                <w:lang w:val="et-EE"/>
              </w:rPr>
              <w:t>r</w:t>
            </w:r>
            <w:r>
              <w:rPr>
                <w:color w:val="000000"/>
                <w:lang w:val="et-EE"/>
              </w:rPr>
              <w:t>iigiväline koostöö</w:t>
            </w:r>
            <w:r w:rsidR="0024044E" w:rsidRPr="00BA759D">
              <w:rPr>
                <w:color w:val="000000"/>
                <w:lang w:val="et-EE"/>
              </w:rPr>
              <w:t>.</w:t>
            </w:r>
            <w:r w:rsidR="0024044E">
              <w:rPr>
                <w:color w:val="000000"/>
                <w:lang w:val="et-EE"/>
              </w:rPr>
              <w:t xml:space="preserve"> Strateegias </w:t>
            </w:r>
            <w:r w:rsidR="00806C46">
              <w:rPr>
                <w:color w:val="000000"/>
                <w:lang w:val="et-EE"/>
              </w:rPr>
              <w:t>on</w:t>
            </w:r>
            <w:r w:rsidR="0024044E">
              <w:rPr>
                <w:color w:val="000000"/>
                <w:lang w:val="et-EE"/>
              </w:rPr>
              <w:t xml:space="preserve"> </w:t>
            </w:r>
            <w:r w:rsidR="007C790B">
              <w:rPr>
                <w:color w:val="000000"/>
                <w:lang w:val="et-EE"/>
              </w:rPr>
              <w:t xml:space="preserve">üldiselt </w:t>
            </w:r>
            <w:r w:rsidR="0024044E">
              <w:rPr>
                <w:color w:val="000000"/>
                <w:lang w:val="et-EE"/>
              </w:rPr>
              <w:t>kirjeldatud koostöö eesmär</w:t>
            </w:r>
            <w:r w:rsidR="00F968D8">
              <w:rPr>
                <w:color w:val="000000"/>
                <w:lang w:val="et-EE"/>
              </w:rPr>
              <w:t>ke</w:t>
            </w:r>
            <w:r w:rsidR="0024044E">
              <w:rPr>
                <w:color w:val="000000"/>
                <w:lang w:val="et-EE"/>
              </w:rPr>
              <w:t xml:space="preserve"> ja valdkond</w:t>
            </w:r>
            <w:r w:rsidR="00F968D8">
              <w:rPr>
                <w:color w:val="000000"/>
                <w:lang w:val="et-EE"/>
              </w:rPr>
              <w:t>i.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AC4E77" w:rsidTr="008A7268">
        <w:trPr>
          <w:cantSplit/>
          <w:trHeight w:val="584"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860E60" w:rsidRPr="00FD75BD" w:rsidRDefault="001603BD" w:rsidP="001603BD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860E60" w:rsidRPr="00BA759D">
              <w:rPr>
                <w:color w:val="000000"/>
                <w:lang w:val="et-EE"/>
              </w:rPr>
              <w:t xml:space="preserve">eiste partnerlustega on kavandatud nii </w:t>
            </w:r>
            <w:r>
              <w:rPr>
                <w:color w:val="000000"/>
                <w:lang w:val="et-EE"/>
              </w:rPr>
              <w:t>riigisisene</w:t>
            </w:r>
            <w:r w:rsidR="00860E60" w:rsidRPr="00BA759D">
              <w:rPr>
                <w:color w:val="000000"/>
                <w:lang w:val="et-EE"/>
              </w:rPr>
              <w:t xml:space="preserve"> kui </w:t>
            </w:r>
            <w:r w:rsidR="00A91E22">
              <w:rPr>
                <w:color w:val="000000"/>
                <w:lang w:val="et-EE"/>
              </w:rPr>
              <w:t xml:space="preserve">ka </w:t>
            </w:r>
            <w:r>
              <w:rPr>
                <w:color w:val="000000"/>
                <w:lang w:val="et-EE"/>
              </w:rPr>
              <w:t>riigiväline</w:t>
            </w:r>
            <w:r w:rsidR="00AC4E77">
              <w:rPr>
                <w:color w:val="000000"/>
                <w:lang w:val="et-EE"/>
              </w:rPr>
              <w:t xml:space="preserve"> </w:t>
            </w:r>
            <w:r>
              <w:rPr>
                <w:color w:val="000000"/>
                <w:lang w:val="et-EE"/>
              </w:rPr>
              <w:t xml:space="preserve">koostöö </w:t>
            </w:r>
            <w:r w:rsidR="00860E60" w:rsidRPr="00BA759D">
              <w:rPr>
                <w:color w:val="000000"/>
                <w:lang w:val="et-EE"/>
              </w:rPr>
              <w:t xml:space="preserve">ning </w:t>
            </w:r>
            <w:r w:rsidR="00F77EA1">
              <w:rPr>
                <w:color w:val="000000"/>
                <w:lang w:val="et-EE"/>
              </w:rPr>
              <w:t xml:space="preserve">koostöö eesmärgid ja valdkonnad on </w:t>
            </w:r>
            <w:r w:rsidR="00860E60" w:rsidRPr="00BA759D">
              <w:rPr>
                <w:color w:val="000000"/>
                <w:lang w:val="et-EE"/>
              </w:rPr>
              <w:t>selgelt kirjeldatud.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AC4E77" w:rsidTr="008A7268">
        <w:trPr>
          <w:cantSplit/>
        </w:trPr>
        <w:tc>
          <w:tcPr>
            <w:tcW w:w="606" w:type="dxa"/>
            <w:vMerge w:val="restart"/>
          </w:tcPr>
          <w:p w:rsidR="00860E60" w:rsidRPr="00F42169" w:rsidRDefault="00860E60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lastRenderedPageBreak/>
              <w:t>6.</w:t>
            </w:r>
          </w:p>
        </w:tc>
        <w:tc>
          <w:tcPr>
            <w:tcW w:w="2835" w:type="dxa"/>
            <w:vMerge w:val="restart"/>
          </w:tcPr>
          <w:p w:rsidR="00860E60" w:rsidRPr="00593659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  <w:r w:rsidRPr="00373CFA">
              <w:rPr>
                <w:bCs/>
                <w:color w:val="000000"/>
                <w:lang w:val="et-EE"/>
              </w:rPr>
              <w:t>Kohaliku</w:t>
            </w:r>
            <w:r w:rsidRPr="00522CFB">
              <w:rPr>
                <w:bCs/>
                <w:color w:val="000000"/>
                <w:lang w:val="et-EE"/>
              </w:rPr>
              <w:t xml:space="preserve"> tegevusgrupi eelarve jaotus</w:t>
            </w:r>
          </w:p>
        </w:tc>
        <w:tc>
          <w:tcPr>
            <w:tcW w:w="8079" w:type="dxa"/>
          </w:tcPr>
          <w:p w:rsidR="00F968D2" w:rsidRDefault="00F968D2" w:rsidP="00387AD3">
            <w:pPr>
              <w:jc w:val="both"/>
              <w:rPr>
                <w:color w:val="000000"/>
                <w:lang w:val="et-EE"/>
              </w:rPr>
            </w:pPr>
          </w:p>
          <w:p w:rsidR="00860E60" w:rsidRPr="00D241EE" w:rsidRDefault="00860E60" w:rsidP="007C790B">
            <w:pPr>
              <w:jc w:val="both"/>
              <w:rPr>
                <w:color w:val="000000"/>
                <w:lang w:val="et-EE"/>
              </w:rPr>
            </w:pPr>
            <w:r w:rsidRPr="00D241EE">
              <w:rPr>
                <w:color w:val="000000"/>
                <w:lang w:val="et-EE"/>
              </w:rPr>
              <w:t>Eelarve jaotus</w:t>
            </w:r>
            <w:r w:rsidR="006040D1">
              <w:rPr>
                <w:color w:val="000000"/>
                <w:lang w:val="et-EE"/>
              </w:rPr>
              <w:t xml:space="preserve"> meetmete vahel</w:t>
            </w:r>
            <w:r w:rsidRPr="00D241EE">
              <w:rPr>
                <w:color w:val="000000"/>
                <w:lang w:val="et-EE"/>
              </w:rPr>
              <w:t xml:space="preserve"> ei </w:t>
            </w:r>
            <w:r w:rsidR="006040D1">
              <w:rPr>
                <w:color w:val="000000"/>
                <w:lang w:val="et-EE"/>
              </w:rPr>
              <w:t>vasta</w:t>
            </w:r>
            <w:r w:rsidR="00A91E22">
              <w:rPr>
                <w:color w:val="000000"/>
                <w:lang w:val="et-EE"/>
              </w:rPr>
              <w:t xml:space="preserve"> strateegia</w:t>
            </w:r>
            <w:r w:rsidR="006040D1">
              <w:rPr>
                <w:color w:val="000000"/>
                <w:lang w:val="et-EE"/>
              </w:rPr>
              <w:t xml:space="preserve"> </w:t>
            </w:r>
            <w:r w:rsidRPr="00D241EE">
              <w:rPr>
                <w:color w:val="000000"/>
                <w:lang w:val="et-EE"/>
              </w:rPr>
              <w:t>eesmärkide</w:t>
            </w:r>
            <w:r w:rsidR="006040D1">
              <w:rPr>
                <w:color w:val="000000"/>
                <w:lang w:val="et-EE"/>
              </w:rPr>
              <w:t>le</w:t>
            </w:r>
            <w:r w:rsidRPr="00D241EE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914435" w:rsidTr="008A7268">
        <w:trPr>
          <w:cantSplit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0B1E11" w:rsidRDefault="000B1E11" w:rsidP="000C52B0">
            <w:pPr>
              <w:jc w:val="both"/>
              <w:rPr>
                <w:color w:val="000000"/>
                <w:lang w:val="et-EE"/>
              </w:rPr>
            </w:pPr>
          </w:p>
          <w:p w:rsidR="00ED78DF" w:rsidRPr="000B1E11" w:rsidRDefault="00860E60">
            <w:pPr>
              <w:jc w:val="both"/>
              <w:rPr>
                <w:color w:val="000000"/>
                <w:lang w:val="et-EE"/>
              </w:rPr>
            </w:pPr>
            <w:r w:rsidRPr="00D241EE">
              <w:rPr>
                <w:color w:val="000000"/>
                <w:lang w:val="et-EE"/>
              </w:rPr>
              <w:t>Eelarve jao</w:t>
            </w:r>
            <w:r w:rsidR="000B1E11">
              <w:rPr>
                <w:color w:val="000000"/>
                <w:lang w:val="et-EE"/>
              </w:rPr>
              <w:t xml:space="preserve">tus </w:t>
            </w:r>
            <w:r w:rsidR="007C790B" w:rsidRPr="007C790B">
              <w:rPr>
                <w:color w:val="000000"/>
                <w:lang w:val="et-EE"/>
              </w:rPr>
              <w:t xml:space="preserve">meetmete </w:t>
            </w:r>
            <w:r w:rsidR="007C790B">
              <w:rPr>
                <w:color w:val="000000"/>
                <w:lang w:val="et-EE"/>
              </w:rPr>
              <w:t xml:space="preserve">vahel </w:t>
            </w:r>
            <w:r w:rsidR="00A91E22">
              <w:rPr>
                <w:color w:val="000000"/>
                <w:lang w:val="et-EE"/>
              </w:rPr>
              <w:t xml:space="preserve">vastab </w:t>
            </w:r>
            <w:r w:rsidR="000B1E11" w:rsidRPr="005116E1">
              <w:rPr>
                <w:color w:val="000000"/>
                <w:lang w:val="et-EE"/>
              </w:rPr>
              <w:t>vähesel</w:t>
            </w:r>
            <w:r w:rsidR="000B1E11">
              <w:rPr>
                <w:color w:val="000000"/>
                <w:lang w:val="et-EE"/>
              </w:rPr>
              <w:t xml:space="preserve"> määral </w:t>
            </w:r>
            <w:r w:rsidR="00A91E22">
              <w:rPr>
                <w:color w:val="000000"/>
                <w:lang w:val="et-EE"/>
              </w:rPr>
              <w:t xml:space="preserve">strateegia </w:t>
            </w:r>
            <w:r w:rsidRPr="00D241EE">
              <w:rPr>
                <w:color w:val="000000"/>
                <w:lang w:val="et-EE"/>
              </w:rPr>
              <w:t>eesmärkide</w:t>
            </w:r>
            <w:r w:rsidR="00A91E22">
              <w:rPr>
                <w:color w:val="000000"/>
                <w:lang w:val="et-EE"/>
              </w:rPr>
              <w:t>le</w:t>
            </w:r>
            <w:r w:rsidR="00914435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914435" w:rsidTr="008A7268">
        <w:trPr>
          <w:cantSplit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0B1E11" w:rsidRDefault="000B1E11" w:rsidP="000C52B0">
            <w:pPr>
              <w:jc w:val="both"/>
              <w:rPr>
                <w:color w:val="000000"/>
                <w:lang w:val="et-EE"/>
              </w:rPr>
            </w:pPr>
          </w:p>
          <w:p w:rsidR="000B1E11" w:rsidRPr="000B1E11" w:rsidRDefault="00860E60">
            <w:pPr>
              <w:jc w:val="both"/>
              <w:rPr>
                <w:color w:val="000000"/>
                <w:lang w:val="et-EE"/>
              </w:rPr>
            </w:pPr>
            <w:r w:rsidRPr="00D241EE">
              <w:rPr>
                <w:color w:val="000000"/>
                <w:lang w:val="et-EE"/>
              </w:rPr>
              <w:t>Eelarve jaotus</w:t>
            </w:r>
            <w:r w:rsidR="007C790B" w:rsidRPr="00EF03AF">
              <w:rPr>
                <w:lang w:val="et-EE"/>
              </w:rPr>
              <w:t xml:space="preserve"> </w:t>
            </w:r>
            <w:r w:rsidR="007C790B" w:rsidRPr="007C790B">
              <w:rPr>
                <w:color w:val="000000"/>
                <w:lang w:val="et-EE"/>
              </w:rPr>
              <w:t xml:space="preserve">meetmete </w:t>
            </w:r>
            <w:r w:rsidR="007C790B">
              <w:rPr>
                <w:color w:val="000000"/>
                <w:lang w:val="et-EE"/>
              </w:rPr>
              <w:t xml:space="preserve">vahel </w:t>
            </w:r>
            <w:r w:rsidR="00A91E22">
              <w:rPr>
                <w:color w:val="000000"/>
                <w:lang w:val="et-EE"/>
              </w:rPr>
              <w:t>vastab</w:t>
            </w:r>
            <w:r w:rsidR="00A91E22" w:rsidRPr="00D241EE">
              <w:rPr>
                <w:color w:val="000000"/>
                <w:lang w:val="et-EE"/>
              </w:rPr>
              <w:t xml:space="preserve"> </w:t>
            </w:r>
            <w:r w:rsidRPr="005116E1">
              <w:rPr>
                <w:color w:val="000000"/>
                <w:lang w:val="et-EE"/>
              </w:rPr>
              <w:t>olulisel</w:t>
            </w:r>
            <w:r w:rsidRPr="00D241EE">
              <w:rPr>
                <w:color w:val="000000"/>
                <w:lang w:val="et-EE"/>
              </w:rPr>
              <w:t xml:space="preserve"> määral </w:t>
            </w:r>
            <w:r w:rsidR="00A91E22">
              <w:rPr>
                <w:color w:val="000000"/>
                <w:lang w:val="et-EE"/>
              </w:rPr>
              <w:t xml:space="preserve">strateegia </w:t>
            </w:r>
            <w:r w:rsidRPr="00D241EE">
              <w:rPr>
                <w:color w:val="000000"/>
                <w:lang w:val="et-EE"/>
              </w:rPr>
              <w:t>eesmärkide</w:t>
            </w:r>
            <w:r w:rsidR="00A91E22">
              <w:rPr>
                <w:color w:val="000000"/>
                <w:lang w:val="et-EE"/>
              </w:rPr>
              <w:t>le</w:t>
            </w:r>
            <w:r w:rsidR="00ED78DF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860E60" w:rsidRPr="00FD75BD" w:rsidTr="008A7268">
        <w:trPr>
          <w:cantSplit/>
        </w:trPr>
        <w:tc>
          <w:tcPr>
            <w:tcW w:w="606" w:type="dxa"/>
            <w:vMerge/>
          </w:tcPr>
          <w:p w:rsidR="00860E60" w:rsidRPr="00023BA2" w:rsidRDefault="00860E60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B747CB" w:rsidRPr="00FD75BD" w:rsidRDefault="00860E60" w:rsidP="007C790B">
            <w:pPr>
              <w:jc w:val="both"/>
              <w:rPr>
                <w:sz w:val="20"/>
                <w:szCs w:val="20"/>
                <w:lang w:val="et-EE"/>
              </w:rPr>
            </w:pPr>
            <w:r w:rsidRPr="00D241EE">
              <w:rPr>
                <w:color w:val="000000"/>
                <w:lang w:val="et-EE"/>
              </w:rPr>
              <w:t xml:space="preserve">Eelarve jaotus </w:t>
            </w:r>
            <w:r w:rsidR="007C790B" w:rsidRPr="007C790B">
              <w:rPr>
                <w:color w:val="000000"/>
                <w:lang w:val="et-EE"/>
              </w:rPr>
              <w:t xml:space="preserve">meetmete </w:t>
            </w:r>
            <w:r w:rsidR="007C790B">
              <w:rPr>
                <w:color w:val="000000"/>
                <w:lang w:val="et-EE"/>
              </w:rPr>
              <w:t xml:space="preserve">vahel </w:t>
            </w:r>
            <w:r w:rsidRPr="00D241EE">
              <w:rPr>
                <w:color w:val="000000"/>
                <w:lang w:val="et-EE"/>
              </w:rPr>
              <w:t xml:space="preserve">lähtub täielikult strateegia eesmärkidest ning </w:t>
            </w:r>
            <w:r w:rsidR="000F3482">
              <w:rPr>
                <w:color w:val="000000"/>
                <w:lang w:val="et-EE"/>
              </w:rPr>
              <w:t xml:space="preserve">jaotuse </w:t>
            </w:r>
            <w:r w:rsidR="006040D1">
              <w:rPr>
                <w:color w:val="000000"/>
                <w:lang w:val="et-EE"/>
              </w:rPr>
              <w:t>p</w:t>
            </w:r>
            <w:r w:rsidR="002A0E28">
              <w:rPr>
                <w:color w:val="000000"/>
                <w:lang w:val="et-EE"/>
              </w:rPr>
              <w:t>roportsio</w:t>
            </w:r>
            <w:r w:rsidR="00806C46">
              <w:rPr>
                <w:color w:val="000000"/>
                <w:lang w:val="et-EE"/>
              </w:rPr>
              <w:t>onid</w:t>
            </w:r>
            <w:r w:rsidR="002A0E28">
              <w:rPr>
                <w:color w:val="000000"/>
                <w:lang w:val="et-EE"/>
              </w:rPr>
              <w:t xml:space="preserve"> </w:t>
            </w:r>
            <w:r w:rsidR="006040D1">
              <w:rPr>
                <w:color w:val="000000"/>
                <w:lang w:val="et-EE"/>
              </w:rPr>
              <w:t xml:space="preserve">meetmete vahel </w:t>
            </w:r>
            <w:r w:rsidR="002A0E28">
              <w:rPr>
                <w:color w:val="000000"/>
                <w:lang w:val="et-EE"/>
              </w:rPr>
              <w:t>on optimaal</w:t>
            </w:r>
            <w:r w:rsidR="000F3482">
              <w:rPr>
                <w:color w:val="000000"/>
                <w:lang w:val="et-EE"/>
              </w:rPr>
              <w:t>s</w:t>
            </w:r>
            <w:r w:rsidR="002A0E28">
              <w:rPr>
                <w:color w:val="000000"/>
                <w:lang w:val="et-EE"/>
              </w:rPr>
              <w:t>e</w:t>
            </w:r>
            <w:r w:rsidR="000F3482">
              <w:rPr>
                <w:color w:val="000000"/>
                <w:lang w:val="et-EE"/>
              </w:rPr>
              <w:t>d</w:t>
            </w:r>
            <w:r w:rsidR="002A0E28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860E60" w:rsidRPr="007F2F52" w:rsidRDefault="00860E60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860E60" w:rsidRPr="00FD75BD" w:rsidRDefault="00860E60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BB4470" w:rsidTr="008A7268">
        <w:trPr>
          <w:cantSplit/>
        </w:trPr>
        <w:tc>
          <w:tcPr>
            <w:tcW w:w="606" w:type="dxa"/>
            <w:vMerge w:val="restart"/>
          </w:tcPr>
          <w:p w:rsidR="00373CFA" w:rsidRPr="00F42169" w:rsidRDefault="00373CFA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7.</w:t>
            </w:r>
          </w:p>
        </w:tc>
        <w:tc>
          <w:tcPr>
            <w:tcW w:w="2835" w:type="dxa"/>
            <w:vMerge w:val="restart"/>
          </w:tcPr>
          <w:p w:rsidR="00373CFA" w:rsidRPr="00FD75BD" w:rsidRDefault="00A84A7D" w:rsidP="00A84A7D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lang w:val="et-EE"/>
              </w:rPr>
              <w:t>Strateegia elluviimise jätkusuutlikkus</w:t>
            </w:r>
          </w:p>
        </w:tc>
        <w:tc>
          <w:tcPr>
            <w:tcW w:w="8079" w:type="dxa"/>
          </w:tcPr>
          <w:p w:rsidR="00373CFA" w:rsidRPr="00FD75BD" w:rsidRDefault="000C52B0" w:rsidP="00023BA2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 xml:space="preserve">Strateegias ei </w:t>
            </w:r>
            <w:r w:rsidR="00D87691">
              <w:rPr>
                <w:color w:val="000000"/>
                <w:lang w:val="et-EE"/>
              </w:rPr>
              <w:t xml:space="preserve">kavandata </w:t>
            </w:r>
            <w:r>
              <w:rPr>
                <w:color w:val="000000"/>
                <w:lang w:val="et-EE"/>
              </w:rPr>
              <w:t xml:space="preserve">kaasata muid rahastamisallikaid peale </w:t>
            </w:r>
            <w:r w:rsidR="00D87691" w:rsidRPr="002A0525">
              <w:rPr>
                <w:bCs/>
                <w:color w:val="000000"/>
                <w:lang w:val="et-EE"/>
              </w:rPr>
              <w:t xml:space="preserve">Euroopa Maaelu Arengu Põllumajandusfondi </w:t>
            </w:r>
            <w:r w:rsidR="00D87691">
              <w:rPr>
                <w:bCs/>
                <w:color w:val="000000"/>
                <w:lang w:val="et-EE"/>
              </w:rPr>
              <w:t xml:space="preserve">(edaspidi </w:t>
            </w:r>
            <w:r w:rsidRPr="00F42169">
              <w:rPr>
                <w:i/>
                <w:color w:val="000000"/>
                <w:lang w:val="et-EE"/>
              </w:rPr>
              <w:t>EAFRD</w:t>
            </w:r>
            <w:r w:rsidR="00D87691">
              <w:rPr>
                <w:color w:val="000000"/>
                <w:lang w:val="et-EE"/>
              </w:rPr>
              <w:t>)</w:t>
            </w:r>
            <w:r>
              <w:rPr>
                <w:color w:val="000000"/>
                <w:lang w:val="et-EE"/>
              </w:rPr>
              <w:t xml:space="preserve"> ja</w:t>
            </w:r>
            <w:r w:rsidR="007C790B">
              <w:rPr>
                <w:color w:val="000000"/>
                <w:lang w:val="et-EE"/>
              </w:rPr>
              <w:t xml:space="preserve"> </w:t>
            </w:r>
            <w:r w:rsidR="00BB4470">
              <w:rPr>
                <w:color w:val="000000"/>
                <w:lang w:val="et-EE"/>
              </w:rPr>
              <w:t xml:space="preserve">strateegia meetmes </w:t>
            </w:r>
            <w:r w:rsidR="00D87691">
              <w:rPr>
                <w:color w:val="000000"/>
                <w:lang w:val="et-EE"/>
              </w:rPr>
              <w:t xml:space="preserve">kavandatav </w:t>
            </w:r>
            <w:r w:rsidR="00BB4470">
              <w:rPr>
                <w:color w:val="000000"/>
                <w:lang w:val="et-EE"/>
              </w:rPr>
              <w:t>projektitoetuse määr on maksimaal</w:t>
            </w:r>
            <w:r w:rsidR="002C3AA3">
              <w:rPr>
                <w:color w:val="000000"/>
                <w:lang w:val="et-EE"/>
              </w:rPr>
              <w:t>ne määruse</w:t>
            </w:r>
            <w:r w:rsidR="00023BA2">
              <w:rPr>
                <w:color w:val="000000"/>
                <w:lang w:val="et-EE"/>
              </w:rPr>
              <w:t>s</w:t>
            </w:r>
            <w:r w:rsidR="00BB4470">
              <w:rPr>
                <w:color w:val="000000"/>
                <w:lang w:val="et-EE"/>
              </w:rPr>
              <w:t xml:space="preserve"> lubat</w:t>
            </w:r>
            <w:r w:rsidR="002C3AA3">
              <w:rPr>
                <w:color w:val="000000"/>
                <w:lang w:val="et-EE"/>
              </w:rPr>
              <w:t>av määr</w:t>
            </w:r>
            <w:r w:rsidR="00BB4470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F968D2" w:rsidRPr="00FD75BD" w:rsidRDefault="000C52B0" w:rsidP="00003BFB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/>
                <w:lang w:val="et-EE"/>
              </w:rPr>
              <w:t>Strateegia</w:t>
            </w:r>
            <w:r w:rsidR="004A06C9">
              <w:rPr>
                <w:color w:val="000000"/>
                <w:lang w:val="et-EE"/>
              </w:rPr>
              <w:t xml:space="preserve"> elluviimiseks kavandatakse </w:t>
            </w:r>
            <w:r>
              <w:rPr>
                <w:color w:val="000000"/>
                <w:lang w:val="et-EE"/>
              </w:rPr>
              <w:t xml:space="preserve">kaasata peale EAFRD ka </w:t>
            </w:r>
            <w:r w:rsidRPr="0067122E">
              <w:rPr>
                <w:lang w:val="et-EE"/>
              </w:rPr>
              <w:t>teis</w:t>
            </w:r>
            <w:r w:rsidR="00072957">
              <w:rPr>
                <w:lang w:val="et-EE"/>
              </w:rPr>
              <w:t>te</w:t>
            </w:r>
            <w:r w:rsidR="00CB2015">
              <w:rPr>
                <w:lang w:val="et-EE"/>
              </w:rPr>
              <w:t xml:space="preserve"> fond</w:t>
            </w:r>
            <w:r w:rsidR="00072957">
              <w:rPr>
                <w:lang w:val="et-EE"/>
              </w:rPr>
              <w:t>ide vahendeid</w:t>
            </w:r>
            <w:r w:rsidR="00F818B7">
              <w:rPr>
                <w:lang w:val="et-EE"/>
              </w:rPr>
              <w:t xml:space="preserve"> ja see on selgelt kirjeldatud</w:t>
            </w:r>
            <w:r w:rsidR="00CB2015">
              <w:rPr>
                <w:lang w:val="et-EE"/>
              </w:rPr>
              <w:t>.</w:t>
            </w:r>
            <w:r w:rsidRPr="00EF03AF" w:rsidDel="000C52B0">
              <w:rPr>
                <w:color w:val="000000"/>
                <w:lang w:val="et-EE"/>
              </w:rPr>
              <w:t xml:space="preserve"> </w:t>
            </w:r>
            <w:r w:rsidR="002C3AA3">
              <w:rPr>
                <w:color w:val="000000"/>
                <w:lang w:val="et-EE"/>
              </w:rPr>
              <w:t>Strateegia meetmes kavandatav projektitoetuse määr on maksimaalne määruse</w:t>
            </w:r>
            <w:r w:rsidR="00003BFB">
              <w:rPr>
                <w:color w:val="000000"/>
                <w:lang w:val="et-EE"/>
              </w:rPr>
              <w:t>s</w:t>
            </w:r>
            <w:r w:rsidR="002C3AA3">
              <w:rPr>
                <w:color w:val="000000"/>
                <w:lang w:val="et-EE"/>
              </w:rPr>
              <w:t xml:space="preserve"> lubatav määr.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B503E8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FD75BD" w:rsidRDefault="000C52B0" w:rsidP="00023BA2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color w:val="000000" w:themeColor="text1"/>
                <w:lang w:val="et-EE"/>
              </w:rPr>
              <w:t>Strateegia</w:t>
            </w:r>
            <w:r w:rsidR="000D2217">
              <w:rPr>
                <w:color w:val="000000" w:themeColor="text1"/>
                <w:lang w:val="et-EE"/>
              </w:rPr>
              <w:t xml:space="preserve"> elluviimi</w:t>
            </w:r>
            <w:r w:rsidR="00B747CB">
              <w:rPr>
                <w:color w:val="000000" w:themeColor="text1"/>
                <w:lang w:val="et-EE"/>
              </w:rPr>
              <w:t>ses</w:t>
            </w:r>
            <w:r w:rsidR="000D2217">
              <w:rPr>
                <w:color w:val="000000" w:themeColor="text1"/>
                <w:lang w:val="et-EE"/>
              </w:rPr>
              <w:t>se</w:t>
            </w:r>
            <w:r w:rsidR="00B747CB">
              <w:rPr>
                <w:color w:val="000000" w:themeColor="text1"/>
                <w:lang w:val="et-EE"/>
              </w:rPr>
              <w:t xml:space="preserve"> </w:t>
            </w:r>
            <w:r>
              <w:rPr>
                <w:color w:val="000000" w:themeColor="text1"/>
                <w:lang w:val="et-EE"/>
              </w:rPr>
              <w:t>kaas</w:t>
            </w:r>
            <w:r w:rsidR="000D2217">
              <w:rPr>
                <w:color w:val="000000" w:themeColor="text1"/>
                <w:lang w:val="et-EE"/>
              </w:rPr>
              <w:t>a</w:t>
            </w:r>
            <w:r>
              <w:rPr>
                <w:color w:val="000000" w:themeColor="text1"/>
                <w:lang w:val="et-EE"/>
              </w:rPr>
              <w:t xml:space="preserve">takse </w:t>
            </w:r>
            <w:r w:rsidR="007C790B">
              <w:rPr>
                <w:color w:val="000000" w:themeColor="text1"/>
                <w:lang w:val="et-EE"/>
              </w:rPr>
              <w:t xml:space="preserve">lisaks </w:t>
            </w:r>
            <w:r>
              <w:rPr>
                <w:color w:val="000000" w:themeColor="text1"/>
                <w:lang w:val="et-EE"/>
              </w:rPr>
              <w:t xml:space="preserve">EAFRD ja teiste fondide vahenditele ka </w:t>
            </w:r>
            <w:r w:rsidR="000D2217" w:rsidRPr="005507CF">
              <w:rPr>
                <w:color w:val="000000" w:themeColor="text1"/>
                <w:lang w:val="et-EE"/>
              </w:rPr>
              <w:t>erasektori</w:t>
            </w:r>
            <w:r w:rsidR="00B747CB">
              <w:rPr>
                <w:color w:val="000000" w:themeColor="text1"/>
                <w:lang w:val="et-EE"/>
              </w:rPr>
              <w:t xml:space="preserve"> </w:t>
            </w:r>
            <w:r w:rsidR="000D2217">
              <w:rPr>
                <w:color w:val="000000" w:themeColor="text1"/>
                <w:lang w:val="et-EE"/>
              </w:rPr>
              <w:t>finants</w:t>
            </w:r>
            <w:r w:rsidRPr="005507CF">
              <w:rPr>
                <w:color w:val="000000" w:themeColor="text1"/>
                <w:lang w:val="et-EE"/>
              </w:rPr>
              <w:t>vahendeid</w:t>
            </w:r>
            <w:r w:rsidR="00F818B7">
              <w:rPr>
                <w:color w:val="000000" w:themeColor="text1"/>
                <w:lang w:val="et-EE"/>
              </w:rPr>
              <w:t xml:space="preserve"> ning see</w:t>
            </w:r>
            <w:bookmarkStart w:id="0" w:name="_GoBack"/>
            <w:bookmarkEnd w:id="0"/>
            <w:r w:rsidR="00F818B7">
              <w:rPr>
                <w:color w:val="000000" w:themeColor="text1"/>
                <w:lang w:val="et-EE"/>
              </w:rPr>
              <w:t xml:space="preserve"> on selgelt kirjeldatud</w:t>
            </w:r>
            <w:r>
              <w:rPr>
                <w:color w:val="000000" w:themeColor="text1"/>
                <w:lang w:val="et-EE"/>
              </w:rPr>
              <w:t>.</w:t>
            </w:r>
            <w:r w:rsidR="00C97E69">
              <w:rPr>
                <w:color w:val="000000" w:themeColor="text1"/>
                <w:lang w:val="et-EE"/>
              </w:rPr>
              <w:t xml:space="preserve"> </w:t>
            </w:r>
            <w:r w:rsidR="002C3AA3">
              <w:rPr>
                <w:color w:val="000000" w:themeColor="text1"/>
                <w:lang w:val="et-EE"/>
              </w:rPr>
              <w:t>S</w:t>
            </w:r>
            <w:r w:rsidR="002C3AA3" w:rsidRPr="002C3AA3">
              <w:rPr>
                <w:color w:val="000000" w:themeColor="text1"/>
                <w:lang w:val="et-EE"/>
              </w:rPr>
              <w:t xml:space="preserve">trateegia meetmes kavandatav projektitoetuse määr on </w:t>
            </w:r>
            <w:r w:rsidR="002C3AA3">
              <w:rPr>
                <w:color w:val="000000" w:themeColor="text1"/>
                <w:lang w:val="et-EE"/>
              </w:rPr>
              <w:t>madalam</w:t>
            </w:r>
            <w:r w:rsidR="002C3AA3" w:rsidRPr="002C3AA3">
              <w:rPr>
                <w:color w:val="000000" w:themeColor="text1"/>
                <w:lang w:val="et-EE"/>
              </w:rPr>
              <w:t xml:space="preserve"> määruse</w:t>
            </w:r>
            <w:r w:rsidR="00023BA2">
              <w:rPr>
                <w:color w:val="000000" w:themeColor="text1"/>
                <w:lang w:val="et-EE"/>
              </w:rPr>
              <w:t>s</w:t>
            </w:r>
            <w:r w:rsidR="002C3AA3" w:rsidRPr="002C3AA3">
              <w:rPr>
                <w:color w:val="000000" w:themeColor="text1"/>
                <w:lang w:val="et-EE"/>
              </w:rPr>
              <w:t xml:space="preserve"> lubatud määr</w:t>
            </w:r>
            <w:r w:rsidR="002C3AA3">
              <w:rPr>
                <w:color w:val="000000" w:themeColor="text1"/>
                <w:lang w:val="et-EE"/>
              </w:rPr>
              <w:t>ast</w:t>
            </w:r>
            <w:r w:rsidR="002C3AA3" w:rsidRPr="002C3AA3">
              <w:rPr>
                <w:color w:val="000000" w:themeColor="text1"/>
                <w:lang w:val="et-EE"/>
              </w:rPr>
              <w:t>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C97E69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DD3A9D" w:rsidRDefault="000D2217" w:rsidP="00023BA2">
            <w:pPr>
              <w:jc w:val="both"/>
              <w:rPr>
                <w:color w:val="000000" w:themeColor="text1"/>
                <w:highlight w:val="green"/>
                <w:lang w:val="et-EE"/>
              </w:rPr>
            </w:pPr>
            <w:r>
              <w:rPr>
                <w:color w:val="000000"/>
                <w:lang w:val="et-EE"/>
              </w:rPr>
              <w:t xml:space="preserve">Strateegia elluviimiseks </w:t>
            </w:r>
            <w:r w:rsidR="00A23D35">
              <w:rPr>
                <w:color w:val="000000"/>
                <w:lang w:val="et-EE"/>
              </w:rPr>
              <w:t>kavandatavad</w:t>
            </w:r>
            <w:r>
              <w:rPr>
                <w:color w:val="000000"/>
                <w:lang w:val="et-EE"/>
              </w:rPr>
              <w:t xml:space="preserve"> </w:t>
            </w:r>
            <w:r w:rsidR="00C97E69">
              <w:rPr>
                <w:color w:val="000000"/>
                <w:lang w:val="et-EE"/>
              </w:rPr>
              <w:t>rahastamisallikad</w:t>
            </w:r>
            <w:r>
              <w:rPr>
                <w:color w:val="000000"/>
                <w:lang w:val="et-EE"/>
              </w:rPr>
              <w:t xml:space="preserve"> on mitmekesised</w:t>
            </w:r>
            <w:r w:rsidR="00C97E69">
              <w:rPr>
                <w:color w:val="000000"/>
                <w:lang w:val="et-EE"/>
              </w:rPr>
              <w:t xml:space="preserve"> ja realistlikud ning</w:t>
            </w:r>
            <w:r>
              <w:rPr>
                <w:color w:val="000000"/>
                <w:lang w:val="et-EE"/>
              </w:rPr>
              <w:t xml:space="preserve"> selgelt </w:t>
            </w:r>
            <w:r w:rsidR="00C97E69">
              <w:rPr>
                <w:color w:val="000000"/>
                <w:lang w:val="et-EE"/>
              </w:rPr>
              <w:t>kirjeldatud</w:t>
            </w:r>
            <w:r w:rsidR="00F818B7" w:rsidRPr="002C7820">
              <w:rPr>
                <w:color w:val="000000"/>
                <w:lang w:val="et-EE"/>
              </w:rPr>
              <w:t>.</w:t>
            </w:r>
            <w:r w:rsidR="00434B4A">
              <w:rPr>
                <w:color w:val="000000"/>
                <w:lang w:val="et-EE"/>
              </w:rPr>
              <w:t xml:space="preserve"> </w:t>
            </w:r>
            <w:r w:rsidR="002C3AA3">
              <w:rPr>
                <w:color w:val="000000" w:themeColor="text1"/>
                <w:lang w:val="et-EE"/>
              </w:rPr>
              <w:t>S</w:t>
            </w:r>
            <w:r w:rsidR="002C3AA3" w:rsidRPr="002C3AA3">
              <w:rPr>
                <w:color w:val="000000" w:themeColor="text1"/>
                <w:lang w:val="et-EE"/>
              </w:rPr>
              <w:t xml:space="preserve">trateegia meetmes kavandatav projektitoetuse määr on </w:t>
            </w:r>
            <w:r w:rsidR="002C3AA3">
              <w:rPr>
                <w:color w:val="000000" w:themeColor="text1"/>
                <w:lang w:val="et-EE"/>
              </w:rPr>
              <w:t>madalam</w:t>
            </w:r>
            <w:r w:rsidR="002C3AA3" w:rsidRPr="002C3AA3">
              <w:rPr>
                <w:color w:val="000000" w:themeColor="text1"/>
                <w:lang w:val="et-EE"/>
              </w:rPr>
              <w:t xml:space="preserve"> määruse</w:t>
            </w:r>
            <w:r w:rsidR="00023BA2">
              <w:rPr>
                <w:color w:val="000000" w:themeColor="text1"/>
                <w:lang w:val="et-EE"/>
              </w:rPr>
              <w:t>s</w:t>
            </w:r>
            <w:r w:rsidR="002C3AA3" w:rsidRPr="002C3AA3">
              <w:rPr>
                <w:color w:val="000000" w:themeColor="text1"/>
                <w:lang w:val="et-EE"/>
              </w:rPr>
              <w:t xml:space="preserve"> lubatud määr</w:t>
            </w:r>
            <w:r w:rsidR="002C3AA3">
              <w:rPr>
                <w:color w:val="000000" w:themeColor="text1"/>
                <w:lang w:val="et-EE"/>
              </w:rPr>
              <w:t>ast</w:t>
            </w:r>
            <w:r w:rsidR="004A06C9">
              <w:rPr>
                <w:color w:val="000000"/>
                <w:lang w:val="et-EE"/>
              </w:rPr>
              <w:t>. Strateegia elluviimiseks kavandatakse kaasata ka teisi fonde.</w:t>
            </w:r>
          </w:p>
        </w:tc>
        <w:tc>
          <w:tcPr>
            <w:tcW w:w="1276" w:type="dxa"/>
          </w:tcPr>
          <w:p w:rsidR="00373CFA" w:rsidRPr="007F2F52" w:rsidRDefault="00434B4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 w:val="restart"/>
          </w:tcPr>
          <w:p w:rsidR="00373CFA" w:rsidRPr="00F42169" w:rsidRDefault="00373CFA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8.</w:t>
            </w:r>
          </w:p>
        </w:tc>
        <w:tc>
          <w:tcPr>
            <w:tcW w:w="2835" w:type="dxa"/>
            <w:vMerge w:val="restart"/>
          </w:tcPr>
          <w:p w:rsidR="00806C46" w:rsidRPr="002A0525" w:rsidRDefault="00B800D2" w:rsidP="007F2F52">
            <w:pPr>
              <w:ind w:left="-108"/>
              <w:jc w:val="both"/>
              <w:rPr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Strateegia panustamine </w:t>
            </w:r>
            <w:r w:rsidR="00373CFA" w:rsidRPr="002A0525">
              <w:rPr>
                <w:bCs/>
                <w:color w:val="000000"/>
                <w:lang w:val="et-EE"/>
              </w:rPr>
              <w:t>LEADER</w:t>
            </w:r>
            <w:r w:rsidR="006A6FAA">
              <w:rPr>
                <w:bCs/>
                <w:color w:val="000000"/>
                <w:lang w:val="et-EE"/>
              </w:rPr>
              <w:t>i</w:t>
            </w:r>
            <w:r w:rsidR="00373CFA" w:rsidRPr="002A0525">
              <w:rPr>
                <w:bCs/>
                <w:color w:val="000000"/>
                <w:lang w:val="et-EE"/>
              </w:rPr>
              <w:t xml:space="preserve"> </w:t>
            </w:r>
            <w:r w:rsidR="00373CFA" w:rsidRPr="007F2F52">
              <w:rPr>
                <w:bCs/>
                <w:color w:val="000000"/>
                <w:lang w:val="et-EE"/>
              </w:rPr>
              <w:t>spetsiifilistesse</w:t>
            </w:r>
            <w:r w:rsidR="00373CFA" w:rsidRPr="00806C46">
              <w:rPr>
                <w:bCs/>
                <w:i/>
                <w:color w:val="000000"/>
                <w:lang w:val="et-EE"/>
              </w:rPr>
              <w:t xml:space="preserve"> </w:t>
            </w:r>
            <w:r w:rsidR="00373CFA" w:rsidRPr="002A0525">
              <w:rPr>
                <w:bCs/>
                <w:color w:val="000000"/>
                <w:lang w:val="et-EE"/>
              </w:rPr>
              <w:t>eesmärkidesse</w:t>
            </w:r>
            <w:r w:rsidR="00A84A7D">
              <w:rPr>
                <w:bCs/>
                <w:color w:val="000000"/>
                <w:lang w:val="et-EE"/>
              </w:rPr>
              <w:t xml:space="preserve"> </w:t>
            </w:r>
          </w:p>
          <w:p w:rsidR="00A84A7D" w:rsidRPr="002A0525" w:rsidRDefault="00A84A7D" w:rsidP="00A84A7D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806C46" w:rsidRDefault="00373CFA">
            <w:pPr>
              <w:jc w:val="both"/>
              <w:rPr>
                <w:sz w:val="20"/>
                <w:szCs w:val="20"/>
                <w:lang w:val="et-EE"/>
              </w:rPr>
            </w:pPr>
            <w:r w:rsidRPr="00806C46">
              <w:rPr>
                <w:color w:val="000000"/>
                <w:lang w:val="et-EE"/>
              </w:rPr>
              <w:t xml:space="preserve">Strateegia </w:t>
            </w:r>
            <w:r w:rsidR="001C35BC">
              <w:rPr>
                <w:color w:val="000000"/>
                <w:lang w:val="et-EE"/>
              </w:rPr>
              <w:t>ei panusta kõikidesse</w:t>
            </w:r>
            <w:r w:rsidR="003F6B1F" w:rsidRPr="00806C46">
              <w:rPr>
                <w:color w:val="000000"/>
                <w:lang w:val="et-EE"/>
              </w:rPr>
              <w:t xml:space="preserve"> </w:t>
            </w:r>
            <w:r w:rsidRPr="00806C46">
              <w:rPr>
                <w:color w:val="000000"/>
                <w:lang w:val="et-EE"/>
              </w:rPr>
              <w:t>LEADER</w:t>
            </w:r>
            <w:r w:rsidR="00DE4AD1">
              <w:rPr>
                <w:color w:val="000000"/>
                <w:lang w:val="et-EE"/>
              </w:rPr>
              <w:t>i</w:t>
            </w:r>
            <w:r w:rsidRPr="00806C46">
              <w:rPr>
                <w:color w:val="000000"/>
                <w:lang w:val="et-EE"/>
              </w:rPr>
              <w:t xml:space="preserve"> spetsiifilis</w:t>
            </w:r>
            <w:r w:rsidR="007918BE">
              <w:rPr>
                <w:color w:val="000000"/>
                <w:lang w:val="et-EE"/>
              </w:rPr>
              <w:t>tes</w:t>
            </w:r>
            <w:r w:rsidRPr="00806C46">
              <w:rPr>
                <w:color w:val="000000"/>
                <w:lang w:val="et-EE"/>
              </w:rPr>
              <w:t>se eesmärki</w:t>
            </w:r>
            <w:r w:rsidR="007918BE">
              <w:rPr>
                <w:color w:val="000000"/>
                <w:lang w:val="et-EE"/>
              </w:rPr>
              <w:t>desse</w:t>
            </w:r>
            <w:r w:rsidRPr="00806C46">
              <w:rPr>
                <w:color w:val="000000"/>
                <w:lang w:val="et-EE"/>
              </w:rPr>
              <w:t xml:space="preserve"> </w:t>
            </w:r>
            <w:r w:rsidR="0014460E">
              <w:rPr>
                <w:color w:val="000000"/>
                <w:lang w:val="et-EE"/>
              </w:rPr>
              <w:t>ja</w:t>
            </w:r>
            <w:r w:rsidR="0014460E" w:rsidRPr="00806C46">
              <w:rPr>
                <w:color w:val="000000"/>
                <w:lang w:val="et-EE"/>
              </w:rPr>
              <w:t xml:space="preserve"> </w:t>
            </w:r>
            <w:r w:rsidR="001C35BC">
              <w:rPr>
                <w:color w:val="000000"/>
                <w:lang w:val="et-EE"/>
              </w:rPr>
              <w:t xml:space="preserve">strateegia eesmärkide </w:t>
            </w:r>
            <w:r w:rsidRPr="00806C46">
              <w:rPr>
                <w:color w:val="000000"/>
                <w:lang w:val="et-EE"/>
              </w:rPr>
              <w:t xml:space="preserve">seotus </w:t>
            </w:r>
            <w:r w:rsidR="001C35BC" w:rsidRPr="001C35BC">
              <w:rPr>
                <w:color w:val="000000"/>
                <w:lang w:val="et-EE"/>
              </w:rPr>
              <w:t>LEADER</w:t>
            </w:r>
            <w:r w:rsidR="00DE4AD1">
              <w:rPr>
                <w:color w:val="000000"/>
                <w:lang w:val="et-EE"/>
              </w:rPr>
              <w:t>i</w:t>
            </w:r>
            <w:r w:rsidR="001C35BC" w:rsidRPr="001C35BC">
              <w:rPr>
                <w:color w:val="000000"/>
                <w:lang w:val="et-EE"/>
              </w:rPr>
              <w:t xml:space="preserve"> spetsiifilis</w:t>
            </w:r>
            <w:r w:rsidR="001C35BC">
              <w:rPr>
                <w:color w:val="000000"/>
                <w:lang w:val="et-EE"/>
              </w:rPr>
              <w:t>t</w:t>
            </w:r>
            <w:r w:rsidR="001C35BC" w:rsidRPr="001C35BC">
              <w:rPr>
                <w:color w:val="000000"/>
                <w:lang w:val="et-EE"/>
              </w:rPr>
              <w:t>e eesmärki</w:t>
            </w:r>
            <w:r w:rsidR="001C35BC">
              <w:rPr>
                <w:color w:val="000000"/>
                <w:lang w:val="et-EE"/>
              </w:rPr>
              <w:t>dega</w:t>
            </w:r>
            <w:r w:rsidR="001C35BC" w:rsidRPr="001C35BC">
              <w:rPr>
                <w:color w:val="000000"/>
                <w:lang w:val="et-EE"/>
              </w:rPr>
              <w:t xml:space="preserve"> </w:t>
            </w:r>
            <w:r w:rsidR="001C35BC">
              <w:rPr>
                <w:color w:val="000000"/>
                <w:lang w:val="et-EE"/>
              </w:rPr>
              <w:t>ei ole</w:t>
            </w:r>
            <w:r w:rsidR="001C35BC" w:rsidRPr="00806C46">
              <w:rPr>
                <w:color w:val="000000"/>
                <w:lang w:val="et-EE"/>
              </w:rPr>
              <w:t xml:space="preserve"> </w:t>
            </w:r>
            <w:r w:rsidR="00A54E72" w:rsidRPr="00806C46">
              <w:rPr>
                <w:color w:val="000000"/>
                <w:lang w:val="et-EE"/>
              </w:rPr>
              <w:t xml:space="preserve">selgelt </w:t>
            </w:r>
            <w:r w:rsidRPr="00806C46">
              <w:rPr>
                <w:color w:val="000000"/>
                <w:lang w:val="et-EE"/>
              </w:rPr>
              <w:t>kirjeldatud.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2A0525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806C46" w:rsidRDefault="00373CFA" w:rsidP="00BA7289">
            <w:pPr>
              <w:jc w:val="both"/>
              <w:rPr>
                <w:sz w:val="20"/>
                <w:szCs w:val="20"/>
                <w:lang w:val="et-EE"/>
              </w:rPr>
            </w:pPr>
            <w:r w:rsidRPr="00806C46">
              <w:rPr>
                <w:color w:val="000000"/>
                <w:lang w:val="et-EE"/>
              </w:rPr>
              <w:t xml:space="preserve">Strateegia panustab </w:t>
            </w:r>
            <w:r w:rsidR="004E69A5" w:rsidRPr="005116E1">
              <w:rPr>
                <w:color w:val="000000"/>
                <w:lang w:val="et-EE"/>
              </w:rPr>
              <w:t>vähesel</w:t>
            </w:r>
            <w:r w:rsidR="004E69A5">
              <w:rPr>
                <w:color w:val="000000"/>
                <w:lang w:val="et-EE"/>
              </w:rPr>
              <w:t xml:space="preserve"> määral</w:t>
            </w:r>
            <w:r w:rsidR="004E69A5" w:rsidRPr="00806C46">
              <w:rPr>
                <w:color w:val="000000"/>
                <w:lang w:val="et-EE"/>
              </w:rPr>
              <w:t xml:space="preserve"> </w:t>
            </w:r>
            <w:r w:rsidRPr="00806C46">
              <w:rPr>
                <w:color w:val="000000"/>
                <w:lang w:val="et-EE"/>
              </w:rPr>
              <w:t>LEADER</w:t>
            </w:r>
            <w:r w:rsidR="00BA7289">
              <w:rPr>
                <w:color w:val="000000"/>
                <w:lang w:val="et-EE"/>
              </w:rPr>
              <w:t>i</w:t>
            </w:r>
            <w:r w:rsidRPr="00806C46">
              <w:rPr>
                <w:color w:val="000000"/>
                <w:lang w:val="et-EE"/>
              </w:rPr>
              <w:t xml:space="preserve"> spetsiifilis</w:t>
            </w:r>
            <w:r w:rsidR="004E69A5">
              <w:rPr>
                <w:color w:val="000000"/>
                <w:lang w:val="et-EE"/>
              </w:rPr>
              <w:t>tes</w:t>
            </w:r>
            <w:r w:rsidRPr="00806C46">
              <w:rPr>
                <w:color w:val="000000"/>
                <w:lang w:val="et-EE"/>
              </w:rPr>
              <w:t>se eesmärki</w:t>
            </w:r>
            <w:r w:rsidR="004E69A5">
              <w:rPr>
                <w:color w:val="000000"/>
                <w:lang w:val="et-EE"/>
              </w:rPr>
              <w:t>desse</w:t>
            </w:r>
            <w:r w:rsidRPr="00806C46">
              <w:rPr>
                <w:color w:val="000000"/>
                <w:lang w:val="et-EE"/>
              </w:rPr>
              <w:t>, kuid seotus</w:t>
            </w:r>
            <w:r w:rsidR="004E69A5" w:rsidRPr="00EF03AF">
              <w:rPr>
                <w:lang w:val="et-EE"/>
              </w:rPr>
              <w:t xml:space="preserve"> </w:t>
            </w:r>
            <w:r w:rsidR="004E69A5" w:rsidRPr="004E69A5">
              <w:rPr>
                <w:color w:val="000000"/>
                <w:lang w:val="et-EE"/>
              </w:rPr>
              <w:t>LEADER</w:t>
            </w:r>
            <w:r w:rsidR="00BA7289">
              <w:rPr>
                <w:color w:val="000000"/>
                <w:lang w:val="et-EE"/>
              </w:rPr>
              <w:t>i</w:t>
            </w:r>
            <w:r w:rsidR="004E69A5" w:rsidRPr="004E69A5">
              <w:rPr>
                <w:color w:val="000000"/>
                <w:lang w:val="et-EE"/>
              </w:rPr>
              <w:t xml:space="preserve"> spetsiifilis</w:t>
            </w:r>
            <w:r w:rsidR="004E69A5">
              <w:rPr>
                <w:color w:val="000000"/>
                <w:lang w:val="et-EE"/>
              </w:rPr>
              <w:t>t</w:t>
            </w:r>
            <w:r w:rsidR="004E69A5" w:rsidRPr="004E69A5">
              <w:rPr>
                <w:color w:val="000000"/>
                <w:lang w:val="et-EE"/>
              </w:rPr>
              <w:t>e eesmärki</w:t>
            </w:r>
            <w:r w:rsidR="004E69A5">
              <w:rPr>
                <w:color w:val="000000"/>
                <w:lang w:val="et-EE"/>
              </w:rPr>
              <w:t>dega</w:t>
            </w:r>
            <w:r w:rsidRPr="00806C46">
              <w:rPr>
                <w:color w:val="000000"/>
                <w:lang w:val="et-EE"/>
              </w:rPr>
              <w:t xml:space="preserve"> </w:t>
            </w:r>
            <w:r w:rsidR="00A54E72" w:rsidRPr="00806C46">
              <w:rPr>
                <w:color w:val="000000"/>
                <w:lang w:val="et-EE"/>
              </w:rPr>
              <w:t>on</w:t>
            </w:r>
            <w:r w:rsidRPr="00806C46">
              <w:rPr>
                <w:color w:val="000000"/>
                <w:lang w:val="et-EE"/>
              </w:rPr>
              <w:t xml:space="preserve"> selgelt kirjeldatud.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2A0525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806C46" w:rsidRDefault="00373CFA" w:rsidP="00BA7289">
            <w:pPr>
              <w:jc w:val="both"/>
              <w:rPr>
                <w:sz w:val="20"/>
                <w:szCs w:val="20"/>
                <w:lang w:val="et-EE"/>
              </w:rPr>
            </w:pPr>
            <w:r w:rsidRPr="00806C46">
              <w:rPr>
                <w:color w:val="000000"/>
                <w:lang w:val="et-EE"/>
              </w:rPr>
              <w:t xml:space="preserve">Strateegia panustab </w:t>
            </w:r>
            <w:r w:rsidR="004E69A5" w:rsidRPr="005116E1">
              <w:rPr>
                <w:color w:val="000000"/>
                <w:lang w:val="et-EE"/>
              </w:rPr>
              <w:t>enamikku</w:t>
            </w:r>
            <w:r w:rsidR="004E69A5" w:rsidRPr="00806C46">
              <w:rPr>
                <w:color w:val="000000"/>
                <w:lang w:val="et-EE"/>
              </w:rPr>
              <w:t xml:space="preserve"> </w:t>
            </w:r>
            <w:r w:rsidRPr="00806C46">
              <w:rPr>
                <w:color w:val="000000"/>
                <w:lang w:val="et-EE"/>
              </w:rPr>
              <w:t>LEADER</w:t>
            </w:r>
            <w:r w:rsidR="00BA7289">
              <w:rPr>
                <w:color w:val="000000"/>
                <w:lang w:val="et-EE"/>
              </w:rPr>
              <w:t>i</w:t>
            </w:r>
            <w:r w:rsidRPr="00806C46">
              <w:rPr>
                <w:color w:val="000000"/>
                <w:lang w:val="et-EE"/>
              </w:rPr>
              <w:t xml:space="preserve"> spetsiifilis</w:t>
            </w:r>
            <w:r w:rsidR="007918BE">
              <w:rPr>
                <w:color w:val="000000"/>
                <w:lang w:val="et-EE"/>
              </w:rPr>
              <w:t>tes</w:t>
            </w:r>
            <w:r w:rsidRPr="00806C46">
              <w:rPr>
                <w:color w:val="000000"/>
                <w:lang w:val="et-EE"/>
              </w:rPr>
              <w:t>se eesmärki</w:t>
            </w:r>
            <w:r w:rsidR="007918BE">
              <w:rPr>
                <w:color w:val="000000"/>
                <w:lang w:val="et-EE"/>
              </w:rPr>
              <w:t>desse</w:t>
            </w:r>
            <w:r w:rsidRPr="00806C46">
              <w:rPr>
                <w:color w:val="000000"/>
                <w:lang w:val="et-EE"/>
              </w:rPr>
              <w:t xml:space="preserve"> ja seotus </w:t>
            </w:r>
            <w:r w:rsidR="004E69A5" w:rsidRPr="004E69A5">
              <w:rPr>
                <w:color w:val="000000"/>
                <w:lang w:val="et-EE"/>
              </w:rPr>
              <w:t>LEADER</w:t>
            </w:r>
            <w:r w:rsidR="00BA7289">
              <w:rPr>
                <w:color w:val="000000"/>
                <w:lang w:val="et-EE"/>
              </w:rPr>
              <w:t>i</w:t>
            </w:r>
            <w:r w:rsidR="004E69A5" w:rsidRPr="004E69A5">
              <w:rPr>
                <w:color w:val="000000"/>
                <w:lang w:val="et-EE"/>
              </w:rPr>
              <w:t xml:space="preserve"> spetsi</w:t>
            </w:r>
            <w:r w:rsidR="004E69A5">
              <w:rPr>
                <w:color w:val="000000"/>
                <w:lang w:val="et-EE"/>
              </w:rPr>
              <w:t>ifilist</w:t>
            </w:r>
            <w:r w:rsidR="004E69A5" w:rsidRPr="004E69A5">
              <w:rPr>
                <w:color w:val="000000"/>
                <w:lang w:val="et-EE"/>
              </w:rPr>
              <w:t>e eesmärki</w:t>
            </w:r>
            <w:r w:rsidR="004E69A5">
              <w:rPr>
                <w:color w:val="000000"/>
                <w:lang w:val="et-EE"/>
              </w:rPr>
              <w:t>dega</w:t>
            </w:r>
            <w:r w:rsidR="004E69A5" w:rsidRPr="004E69A5">
              <w:rPr>
                <w:color w:val="000000"/>
                <w:lang w:val="et-EE"/>
              </w:rPr>
              <w:t xml:space="preserve"> </w:t>
            </w:r>
            <w:r w:rsidRPr="00806C46">
              <w:rPr>
                <w:color w:val="000000"/>
                <w:lang w:val="et-EE"/>
              </w:rPr>
              <w:t>on selgelt kirjeldatud.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2A0525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806C46" w:rsidRDefault="00373CFA">
            <w:pPr>
              <w:jc w:val="both"/>
              <w:rPr>
                <w:color w:val="000000" w:themeColor="text1"/>
                <w:lang w:val="et-EE"/>
              </w:rPr>
            </w:pPr>
            <w:r w:rsidRPr="00806C46">
              <w:rPr>
                <w:color w:val="000000"/>
                <w:lang w:val="et-EE"/>
              </w:rPr>
              <w:t>Strateegia panustab kõikidesse LEADER</w:t>
            </w:r>
            <w:r w:rsidR="007F2164">
              <w:rPr>
                <w:color w:val="000000"/>
                <w:lang w:val="et-EE"/>
              </w:rPr>
              <w:t>i</w:t>
            </w:r>
            <w:r w:rsidRPr="00806C46">
              <w:rPr>
                <w:color w:val="000000"/>
                <w:lang w:val="et-EE"/>
              </w:rPr>
              <w:t xml:space="preserve"> spetsiifilistesse eesmärkidesse ja </w:t>
            </w:r>
            <w:r w:rsidR="001C35BC" w:rsidRPr="001C35BC">
              <w:rPr>
                <w:color w:val="000000"/>
                <w:lang w:val="et-EE"/>
              </w:rPr>
              <w:t xml:space="preserve">strateegia eesmärkide </w:t>
            </w:r>
            <w:r w:rsidRPr="00806C46">
              <w:rPr>
                <w:color w:val="000000"/>
                <w:lang w:val="et-EE"/>
              </w:rPr>
              <w:t xml:space="preserve">seotus </w:t>
            </w:r>
            <w:r w:rsidR="001C35BC" w:rsidRPr="001C35BC">
              <w:rPr>
                <w:color w:val="000000"/>
                <w:lang w:val="et-EE"/>
              </w:rPr>
              <w:t>LEADER</w:t>
            </w:r>
            <w:r w:rsidR="007F2164">
              <w:rPr>
                <w:color w:val="000000"/>
                <w:lang w:val="et-EE"/>
              </w:rPr>
              <w:t>i</w:t>
            </w:r>
            <w:r w:rsidR="001C35BC" w:rsidRPr="001C35BC">
              <w:rPr>
                <w:color w:val="000000"/>
                <w:lang w:val="et-EE"/>
              </w:rPr>
              <w:t xml:space="preserve"> spetsiifilis</w:t>
            </w:r>
            <w:r w:rsidR="001C35BC">
              <w:rPr>
                <w:color w:val="000000"/>
                <w:lang w:val="et-EE"/>
              </w:rPr>
              <w:t>t</w:t>
            </w:r>
            <w:r w:rsidR="001C35BC" w:rsidRPr="001C35BC">
              <w:rPr>
                <w:color w:val="000000"/>
                <w:lang w:val="et-EE"/>
              </w:rPr>
              <w:t>e eesmärki</w:t>
            </w:r>
            <w:r w:rsidR="001C35BC">
              <w:rPr>
                <w:color w:val="000000"/>
                <w:lang w:val="et-EE"/>
              </w:rPr>
              <w:t>dega</w:t>
            </w:r>
            <w:r w:rsidR="001C35BC" w:rsidRPr="001C35BC">
              <w:rPr>
                <w:color w:val="000000"/>
                <w:lang w:val="et-EE"/>
              </w:rPr>
              <w:t xml:space="preserve"> </w:t>
            </w:r>
            <w:r w:rsidRPr="00806C46">
              <w:rPr>
                <w:color w:val="000000"/>
                <w:lang w:val="et-EE"/>
              </w:rPr>
              <w:t>on selgelt kirjeldatud.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03C4B" w:rsidRPr="00806C46" w:rsidTr="008A7268">
        <w:trPr>
          <w:cantSplit/>
        </w:trPr>
        <w:tc>
          <w:tcPr>
            <w:tcW w:w="606" w:type="dxa"/>
            <w:vMerge w:val="restart"/>
          </w:tcPr>
          <w:p w:rsidR="00303C4B" w:rsidRPr="00F42169" w:rsidRDefault="00303C4B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9.</w:t>
            </w:r>
          </w:p>
        </w:tc>
        <w:tc>
          <w:tcPr>
            <w:tcW w:w="2835" w:type="dxa"/>
            <w:vMerge w:val="restart"/>
          </w:tcPr>
          <w:p w:rsidR="00303C4B" w:rsidRPr="00303C4B" w:rsidRDefault="00303C4B">
            <w:pPr>
              <w:jc w:val="both"/>
              <w:rPr>
                <w:bCs/>
                <w:color w:val="000000"/>
                <w:lang w:val="et-EE"/>
              </w:rPr>
            </w:pPr>
            <w:r w:rsidRPr="002A0525">
              <w:rPr>
                <w:bCs/>
                <w:color w:val="000000"/>
                <w:lang w:val="et-EE"/>
              </w:rPr>
              <w:t>Strateegia panustamine</w:t>
            </w:r>
            <w:r>
              <w:rPr>
                <w:bCs/>
                <w:color w:val="000000"/>
                <w:lang w:val="et-EE"/>
              </w:rPr>
              <w:t xml:space="preserve"> </w:t>
            </w:r>
            <w:r w:rsidRPr="002A0525">
              <w:rPr>
                <w:bCs/>
                <w:color w:val="000000"/>
                <w:lang w:val="et-EE"/>
              </w:rPr>
              <w:t>EAFRD prioriteetidesse</w:t>
            </w:r>
          </w:p>
        </w:tc>
        <w:tc>
          <w:tcPr>
            <w:tcW w:w="8079" w:type="dxa"/>
          </w:tcPr>
          <w:p w:rsidR="00303C4B" w:rsidRPr="00BA759D" w:rsidRDefault="00303C4B" w:rsidP="00400F07">
            <w:pPr>
              <w:ind w:left="11"/>
              <w:jc w:val="both"/>
              <w:rPr>
                <w:color w:val="000000"/>
                <w:lang w:val="et-EE"/>
              </w:rPr>
            </w:pPr>
            <w:r w:rsidRPr="002A0525">
              <w:rPr>
                <w:color w:val="000000"/>
                <w:lang w:val="et-EE"/>
              </w:rPr>
              <w:t>Strateegia eesmär</w:t>
            </w:r>
            <w:r>
              <w:rPr>
                <w:color w:val="000000"/>
                <w:lang w:val="et-EE"/>
              </w:rPr>
              <w:t>kide seotus</w:t>
            </w:r>
            <w:r w:rsidRPr="002A0525">
              <w:rPr>
                <w:color w:val="000000"/>
                <w:lang w:val="et-EE"/>
              </w:rPr>
              <w:t xml:space="preserve"> EAFRD prioriteetidega</w:t>
            </w:r>
            <w:r>
              <w:rPr>
                <w:color w:val="000000"/>
                <w:lang w:val="et-EE"/>
              </w:rPr>
              <w:t xml:space="preserve"> </w:t>
            </w:r>
            <w:r w:rsidRPr="002A0525">
              <w:rPr>
                <w:color w:val="000000"/>
                <w:lang w:val="et-EE"/>
              </w:rPr>
              <w:t xml:space="preserve">on </w:t>
            </w:r>
            <w:r w:rsidR="00B800D2">
              <w:rPr>
                <w:color w:val="000000"/>
                <w:lang w:val="et-EE"/>
              </w:rPr>
              <w:t>kirjeldatud</w:t>
            </w:r>
            <w:r>
              <w:rPr>
                <w:color w:val="000000"/>
                <w:lang w:val="et-EE"/>
              </w:rPr>
              <w:t xml:space="preserve"> eba</w:t>
            </w:r>
            <w:r w:rsidRPr="002A0525">
              <w:rPr>
                <w:color w:val="000000"/>
                <w:lang w:val="et-EE"/>
              </w:rPr>
              <w:t>määra</w:t>
            </w:r>
            <w:r>
              <w:rPr>
                <w:color w:val="000000"/>
                <w:lang w:val="et-EE"/>
              </w:rPr>
              <w:t>se</w:t>
            </w:r>
            <w:r w:rsidRPr="002A0525">
              <w:rPr>
                <w:color w:val="000000"/>
                <w:lang w:val="et-EE"/>
              </w:rPr>
              <w:t>l</w:t>
            </w:r>
            <w:r>
              <w:rPr>
                <w:color w:val="000000"/>
                <w:lang w:val="et-EE"/>
              </w:rPr>
              <w:t>t</w:t>
            </w:r>
            <w:r w:rsidRPr="002A0525">
              <w:rPr>
                <w:color w:val="000000"/>
                <w:lang w:val="et-EE"/>
              </w:rPr>
              <w:t xml:space="preserve"> </w:t>
            </w:r>
            <w:r>
              <w:rPr>
                <w:color w:val="000000"/>
                <w:lang w:val="et-EE"/>
              </w:rPr>
              <w:t xml:space="preserve">ja </w:t>
            </w:r>
            <w:r w:rsidR="00B800D2">
              <w:rPr>
                <w:color w:val="000000"/>
                <w:lang w:val="et-EE"/>
              </w:rPr>
              <w:t>üldsõnaliselt</w:t>
            </w:r>
            <w:r>
              <w:rPr>
                <w:color w:val="000000"/>
                <w:lang w:val="et-EE"/>
              </w:rPr>
              <w:t>.</w:t>
            </w:r>
            <w:r w:rsidRPr="00303C4B">
              <w:rPr>
                <w:lang w:val="et-EE"/>
              </w:rPr>
              <w:t xml:space="preserve">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03C4B" w:rsidRPr="00FD75BD" w:rsidRDefault="00303C4B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03C4B" w:rsidRPr="00806C46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Pr="00FD75BD" w:rsidRDefault="00303C4B" w:rsidP="00387AD3">
            <w:pPr>
              <w:ind w:left="11"/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303C4B" w:rsidRPr="00BA759D" w:rsidRDefault="00303C4B" w:rsidP="00400F07">
            <w:pPr>
              <w:ind w:left="11"/>
              <w:jc w:val="both"/>
              <w:rPr>
                <w:color w:val="000000"/>
                <w:lang w:val="et-EE"/>
              </w:rPr>
            </w:pPr>
            <w:r w:rsidRPr="002A0525">
              <w:rPr>
                <w:color w:val="000000"/>
                <w:lang w:val="et-EE"/>
              </w:rPr>
              <w:t>Strateegia eesmär</w:t>
            </w:r>
            <w:r>
              <w:rPr>
                <w:color w:val="000000"/>
                <w:lang w:val="et-EE"/>
              </w:rPr>
              <w:t>k</w:t>
            </w:r>
            <w:r w:rsidRPr="002A0525">
              <w:rPr>
                <w:color w:val="000000"/>
                <w:lang w:val="et-EE"/>
              </w:rPr>
              <w:t>i</w:t>
            </w:r>
            <w:r>
              <w:rPr>
                <w:color w:val="000000"/>
                <w:lang w:val="et-EE"/>
              </w:rPr>
              <w:t>de seotus</w:t>
            </w:r>
            <w:r w:rsidRPr="002A0525">
              <w:rPr>
                <w:color w:val="000000"/>
                <w:lang w:val="et-EE"/>
              </w:rPr>
              <w:t xml:space="preserve"> EAFRD prioriteetidega</w:t>
            </w:r>
            <w:r>
              <w:rPr>
                <w:color w:val="000000"/>
                <w:lang w:val="et-EE"/>
              </w:rPr>
              <w:t xml:space="preserve"> </w:t>
            </w:r>
            <w:r w:rsidRPr="002A0525">
              <w:rPr>
                <w:color w:val="000000"/>
                <w:lang w:val="et-EE"/>
              </w:rPr>
              <w:t xml:space="preserve">on </w:t>
            </w:r>
            <w:r w:rsidR="00DA7BAA">
              <w:rPr>
                <w:color w:val="000000"/>
                <w:lang w:val="et-EE"/>
              </w:rPr>
              <w:t xml:space="preserve">kirjeldatud </w:t>
            </w:r>
            <w:r w:rsidRPr="005116E1">
              <w:rPr>
                <w:color w:val="000000"/>
                <w:lang w:val="et-EE"/>
              </w:rPr>
              <w:t>vähesel</w:t>
            </w:r>
            <w:r>
              <w:rPr>
                <w:color w:val="000000"/>
                <w:lang w:val="et-EE"/>
              </w:rPr>
              <w:t xml:space="preserve"> </w:t>
            </w:r>
            <w:r w:rsidRPr="002A0525">
              <w:rPr>
                <w:color w:val="000000"/>
                <w:lang w:val="et-EE"/>
              </w:rPr>
              <w:t>määra</w:t>
            </w:r>
            <w:r>
              <w:rPr>
                <w:color w:val="000000"/>
                <w:lang w:val="et-EE"/>
              </w:rPr>
              <w:t xml:space="preserve">l.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303C4B" w:rsidRPr="00FD75BD" w:rsidRDefault="00303C4B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03C4B" w:rsidRPr="00806C46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Pr="00FD75BD" w:rsidRDefault="00303C4B" w:rsidP="00387AD3">
            <w:pPr>
              <w:ind w:left="11"/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303C4B" w:rsidRPr="00BA759D" w:rsidRDefault="00303C4B" w:rsidP="00400F07">
            <w:pPr>
              <w:ind w:left="11"/>
              <w:jc w:val="both"/>
              <w:rPr>
                <w:color w:val="000000"/>
                <w:lang w:val="et-EE"/>
              </w:rPr>
            </w:pPr>
            <w:r w:rsidRPr="002A0525">
              <w:rPr>
                <w:color w:val="000000"/>
                <w:lang w:val="et-EE"/>
              </w:rPr>
              <w:t>Strateegia eesmär</w:t>
            </w:r>
            <w:r>
              <w:rPr>
                <w:color w:val="000000"/>
                <w:lang w:val="et-EE"/>
              </w:rPr>
              <w:t>k</w:t>
            </w:r>
            <w:r w:rsidRPr="002A0525">
              <w:rPr>
                <w:color w:val="000000"/>
                <w:lang w:val="et-EE"/>
              </w:rPr>
              <w:t>i</w:t>
            </w:r>
            <w:r>
              <w:rPr>
                <w:color w:val="000000"/>
                <w:lang w:val="et-EE"/>
              </w:rPr>
              <w:t>de seotus</w:t>
            </w:r>
            <w:r w:rsidRPr="002A0525">
              <w:rPr>
                <w:color w:val="000000"/>
                <w:lang w:val="et-EE"/>
              </w:rPr>
              <w:t xml:space="preserve"> EAFRD prioriteetidega</w:t>
            </w:r>
            <w:r>
              <w:rPr>
                <w:color w:val="000000"/>
                <w:lang w:val="et-EE"/>
              </w:rPr>
              <w:t xml:space="preserve"> tuleb välja </w:t>
            </w:r>
            <w:r w:rsidRPr="005116E1">
              <w:rPr>
                <w:color w:val="000000"/>
                <w:lang w:val="et-EE"/>
              </w:rPr>
              <w:t>olulisel</w:t>
            </w:r>
            <w:r>
              <w:rPr>
                <w:color w:val="000000"/>
                <w:lang w:val="et-EE"/>
              </w:rPr>
              <w:t xml:space="preserve"> määral.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303C4B" w:rsidRPr="00FD75BD" w:rsidRDefault="00303C4B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03C4B" w:rsidRPr="00806C46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Pr="00FD75BD" w:rsidRDefault="00303C4B" w:rsidP="00387AD3">
            <w:pPr>
              <w:ind w:left="11"/>
              <w:jc w:val="both"/>
              <w:rPr>
                <w:color w:val="000000"/>
                <w:lang w:val="et-EE"/>
              </w:rPr>
            </w:pPr>
          </w:p>
        </w:tc>
        <w:tc>
          <w:tcPr>
            <w:tcW w:w="8079" w:type="dxa"/>
          </w:tcPr>
          <w:p w:rsidR="00303C4B" w:rsidRPr="00BA759D" w:rsidRDefault="00303C4B" w:rsidP="00400F07">
            <w:pPr>
              <w:ind w:left="11"/>
              <w:jc w:val="both"/>
              <w:rPr>
                <w:color w:val="000000"/>
                <w:lang w:val="et-EE"/>
              </w:rPr>
            </w:pPr>
            <w:r w:rsidRPr="002A0525">
              <w:rPr>
                <w:color w:val="000000"/>
                <w:lang w:val="et-EE"/>
              </w:rPr>
              <w:t>Strateegia eesmär</w:t>
            </w:r>
            <w:r>
              <w:rPr>
                <w:color w:val="000000"/>
                <w:lang w:val="et-EE"/>
              </w:rPr>
              <w:t>k</w:t>
            </w:r>
            <w:r w:rsidRPr="002A0525">
              <w:rPr>
                <w:color w:val="000000"/>
                <w:lang w:val="et-EE"/>
              </w:rPr>
              <w:t>i</w:t>
            </w:r>
            <w:r>
              <w:rPr>
                <w:color w:val="000000"/>
                <w:lang w:val="et-EE"/>
              </w:rPr>
              <w:t>de seotus</w:t>
            </w:r>
            <w:r w:rsidRPr="002A0525">
              <w:rPr>
                <w:color w:val="000000"/>
                <w:lang w:val="et-EE"/>
              </w:rPr>
              <w:t xml:space="preserve"> EAFRD prioriteetidega</w:t>
            </w:r>
            <w:r>
              <w:rPr>
                <w:color w:val="000000"/>
                <w:lang w:val="et-EE"/>
              </w:rPr>
              <w:t xml:space="preserve"> tuleb selgelt välja</w:t>
            </w:r>
            <w:r w:rsidRPr="002A0525">
              <w:rPr>
                <w:color w:val="000000"/>
                <w:lang w:val="et-EE"/>
              </w:rPr>
              <w:t>.</w:t>
            </w:r>
            <w:r>
              <w:rPr>
                <w:color w:val="000000"/>
                <w:lang w:val="et-EE"/>
              </w:rPr>
              <w:t xml:space="preserve">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303C4B" w:rsidRPr="00FD75BD" w:rsidRDefault="00303C4B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 w:val="restart"/>
          </w:tcPr>
          <w:p w:rsidR="00373CFA" w:rsidRPr="00F42169" w:rsidRDefault="00303C4B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10</w:t>
            </w:r>
            <w:r w:rsidR="00373CFA" w:rsidRPr="00F42169">
              <w:rPr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2835" w:type="dxa"/>
            <w:vMerge w:val="restart"/>
          </w:tcPr>
          <w:p w:rsidR="00373CFA" w:rsidRPr="00FD75BD" w:rsidRDefault="00373CFA" w:rsidP="00387AD3">
            <w:pPr>
              <w:ind w:left="11"/>
              <w:jc w:val="both"/>
              <w:rPr>
                <w:sz w:val="20"/>
                <w:szCs w:val="20"/>
                <w:u w:val="single"/>
                <w:lang w:val="et-EE"/>
              </w:rPr>
            </w:pPr>
            <w:r w:rsidRPr="00FD75BD">
              <w:rPr>
                <w:color w:val="000000"/>
                <w:lang w:val="et-EE"/>
              </w:rPr>
              <w:t>Kogukonna kaasamine strateegia koostamisse</w:t>
            </w:r>
          </w:p>
        </w:tc>
        <w:tc>
          <w:tcPr>
            <w:tcW w:w="8079" w:type="dxa"/>
          </w:tcPr>
          <w:p w:rsidR="00373CFA" w:rsidRPr="00FD75BD" w:rsidRDefault="00373CFA" w:rsidP="00EA1CD3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  <w:r w:rsidRPr="00BA759D">
              <w:rPr>
                <w:color w:val="000000"/>
                <w:lang w:val="et-EE"/>
              </w:rPr>
              <w:t xml:space="preserve">Kaasatud on </w:t>
            </w:r>
            <w:r w:rsidRPr="005116E1">
              <w:rPr>
                <w:color w:val="000000"/>
                <w:lang w:val="et-EE"/>
              </w:rPr>
              <w:t>üksikud</w:t>
            </w:r>
            <w:r w:rsidRPr="00BA759D">
              <w:rPr>
                <w:color w:val="000000"/>
                <w:lang w:val="et-EE"/>
              </w:rPr>
              <w:t xml:space="preserve"> </w:t>
            </w:r>
            <w:r w:rsidR="00EA1CD3">
              <w:rPr>
                <w:color w:val="000000"/>
                <w:lang w:val="et-EE"/>
              </w:rPr>
              <w:t xml:space="preserve">sidus- või </w:t>
            </w:r>
            <w:r w:rsidR="001B695B">
              <w:rPr>
                <w:color w:val="000000"/>
                <w:lang w:val="et-EE"/>
              </w:rPr>
              <w:t>huvirühmad</w:t>
            </w:r>
            <w:r w:rsidR="001B695B" w:rsidRPr="00BA759D">
              <w:rPr>
                <w:color w:val="000000"/>
                <w:lang w:val="et-EE"/>
              </w:rPr>
              <w:t xml:space="preserve"> </w:t>
            </w:r>
            <w:r w:rsidRPr="00BA759D">
              <w:rPr>
                <w:color w:val="000000"/>
                <w:lang w:val="et-EE"/>
              </w:rPr>
              <w:t>või üks sektor.</w:t>
            </w:r>
            <w:r w:rsidRPr="00A26242">
              <w:rPr>
                <w:lang w:val="et-EE"/>
              </w:rPr>
              <w:t xml:space="preserve"> </w:t>
            </w:r>
            <w:r w:rsidRPr="00BA759D">
              <w:rPr>
                <w:color w:val="000000"/>
                <w:lang w:val="et-EE"/>
              </w:rPr>
              <w:t>Kaasa</w:t>
            </w:r>
            <w:r w:rsidR="00303C4B">
              <w:rPr>
                <w:color w:val="000000"/>
                <w:lang w:val="et-EE"/>
              </w:rPr>
              <w:t>mise</w:t>
            </w:r>
            <w:r w:rsidRPr="00BA759D">
              <w:rPr>
                <w:color w:val="000000"/>
                <w:lang w:val="et-EE"/>
              </w:rPr>
              <w:t xml:space="preserve"> metoodikad ei ole asjakohased </w:t>
            </w:r>
            <w:r w:rsidR="00EA1CD3">
              <w:rPr>
                <w:color w:val="000000"/>
                <w:lang w:val="et-EE"/>
              </w:rPr>
              <w:t>ning sidus- ja</w:t>
            </w:r>
            <w:r w:rsidR="00EA1CD3" w:rsidRPr="00BA759D">
              <w:rPr>
                <w:color w:val="000000"/>
                <w:lang w:val="et-EE"/>
              </w:rPr>
              <w:t xml:space="preserve"> </w:t>
            </w:r>
            <w:r w:rsidRPr="00BA759D">
              <w:rPr>
                <w:color w:val="000000"/>
                <w:lang w:val="et-EE"/>
              </w:rPr>
              <w:t>huvi</w:t>
            </w:r>
            <w:r w:rsidR="009A7A6E">
              <w:rPr>
                <w:color w:val="000000"/>
                <w:lang w:val="et-EE"/>
              </w:rPr>
              <w:t>rühmad</w:t>
            </w:r>
            <w:r w:rsidRPr="00BA759D">
              <w:rPr>
                <w:color w:val="000000"/>
                <w:lang w:val="et-EE"/>
              </w:rPr>
              <w:t xml:space="preserve"> ei ole määratletud asjakohaselt.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373CFA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023BA2" w:rsidRDefault="00373CFA" w:rsidP="00EA1CD3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  <w:r w:rsidRPr="00023BA2">
              <w:rPr>
                <w:color w:val="000000"/>
                <w:lang w:val="et-EE"/>
              </w:rPr>
              <w:t>Kaasatud on mõn</w:t>
            </w:r>
            <w:r w:rsidR="00442BE9" w:rsidRPr="00023BA2">
              <w:rPr>
                <w:color w:val="000000"/>
                <w:lang w:val="et-EE"/>
              </w:rPr>
              <w:t>i</w:t>
            </w:r>
            <w:r w:rsidR="004220A4" w:rsidRPr="00023BA2">
              <w:rPr>
                <w:color w:val="000000"/>
                <w:lang w:val="et-EE"/>
              </w:rPr>
              <w:t xml:space="preserve"> </w:t>
            </w:r>
            <w:r w:rsidR="00EA1CD3" w:rsidRPr="00023BA2">
              <w:rPr>
                <w:color w:val="000000"/>
                <w:lang w:val="et-EE"/>
              </w:rPr>
              <w:t xml:space="preserve">sidus- või </w:t>
            </w:r>
            <w:r w:rsidRPr="00023BA2">
              <w:rPr>
                <w:color w:val="000000"/>
                <w:lang w:val="et-EE"/>
              </w:rPr>
              <w:t>huvi</w:t>
            </w:r>
            <w:r w:rsidR="009A7A6E" w:rsidRPr="00023BA2">
              <w:rPr>
                <w:color w:val="000000"/>
                <w:lang w:val="et-EE"/>
              </w:rPr>
              <w:t>rühm</w:t>
            </w:r>
            <w:r w:rsidRPr="00023BA2">
              <w:rPr>
                <w:color w:val="000000"/>
                <w:lang w:val="et-EE"/>
              </w:rPr>
              <w:t>.</w:t>
            </w:r>
            <w:r w:rsidRPr="00023BA2">
              <w:rPr>
                <w:lang w:val="et-EE"/>
              </w:rPr>
              <w:t xml:space="preserve"> </w:t>
            </w:r>
            <w:r w:rsidRPr="00023BA2">
              <w:rPr>
                <w:color w:val="000000"/>
                <w:lang w:val="et-EE"/>
              </w:rPr>
              <w:t>Kaasa</w:t>
            </w:r>
            <w:r w:rsidR="00303C4B" w:rsidRPr="00023BA2">
              <w:rPr>
                <w:color w:val="000000"/>
                <w:lang w:val="et-EE"/>
              </w:rPr>
              <w:t>mise</w:t>
            </w:r>
            <w:r w:rsidRPr="00023BA2">
              <w:rPr>
                <w:color w:val="000000"/>
                <w:lang w:val="et-EE"/>
              </w:rPr>
              <w:t xml:space="preserve"> metoodikad on osaliselt asjakohased </w:t>
            </w:r>
            <w:r w:rsidR="00EA1CD3" w:rsidRPr="00023BA2">
              <w:rPr>
                <w:color w:val="000000"/>
                <w:lang w:val="et-EE"/>
              </w:rPr>
              <w:t xml:space="preserve">ning sidus- ja </w:t>
            </w:r>
            <w:r w:rsidRPr="00023BA2">
              <w:rPr>
                <w:color w:val="000000"/>
                <w:lang w:val="et-EE"/>
              </w:rPr>
              <w:t>huvi</w:t>
            </w:r>
            <w:r w:rsidR="002764F4" w:rsidRPr="00023BA2">
              <w:rPr>
                <w:color w:val="000000"/>
                <w:lang w:val="et-EE"/>
              </w:rPr>
              <w:t>rühmad</w:t>
            </w:r>
            <w:r w:rsidRPr="00023BA2">
              <w:rPr>
                <w:color w:val="000000"/>
                <w:lang w:val="et-EE"/>
              </w:rPr>
              <w:t xml:space="preserve"> on määratletud osaliselt asjakohaselt.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373CFA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73CFA" w:rsidRPr="00023BA2" w:rsidRDefault="00373CFA" w:rsidP="00EA1CD3">
            <w:pPr>
              <w:jc w:val="both"/>
              <w:rPr>
                <w:sz w:val="20"/>
                <w:szCs w:val="20"/>
                <w:lang w:val="et-EE"/>
              </w:rPr>
            </w:pPr>
            <w:r w:rsidRPr="00023BA2">
              <w:rPr>
                <w:color w:val="000000"/>
                <w:lang w:val="et-EE"/>
              </w:rPr>
              <w:t>Kaasatud on erinevate sektorite</w:t>
            </w:r>
            <w:r w:rsidR="00F8697C" w:rsidRPr="00023BA2">
              <w:rPr>
                <w:color w:val="000000"/>
                <w:lang w:val="et-EE"/>
              </w:rPr>
              <w:t xml:space="preserve"> </w:t>
            </w:r>
            <w:r w:rsidR="00EA1CD3" w:rsidRPr="00023BA2">
              <w:rPr>
                <w:color w:val="000000"/>
                <w:lang w:val="et-EE"/>
              </w:rPr>
              <w:t xml:space="preserve">üksikuid sidus- või </w:t>
            </w:r>
            <w:r w:rsidRPr="00023BA2">
              <w:rPr>
                <w:color w:val="000000"/>
                <w:lang w:val="et-EE"/>
              </w:rPr>
              <w:t>huvi</w:t>
            </w:r>
            <w:r w:rsidR="009A7A6E" w:rsidRPr="00023BA2">
              <w:rPr>
                <w:color w:val="000000"/>
                <w:lang w:val="et-EE"/>
              </w:rPr>
              <w:t>rühm</w:t>
            </w:r>
            <w:r w:rsidR="00442BE9" w:rsidRPr="00023BA2">
              <w:rPr>
                <w:color w:val="000000"/>
                <w:lang w:val="et-EE"/>
              </w:rPr>
              <w:t>i</w:t>
            </w:r>
            <w:r w:rsidRPr="00023BA2">
              <w:rPr>
                <w:color w:val="000000"/>
                <w:lang w:val="et-EE"/>
              </w:rPr>
              <w:t>.</w:t>
            </w:r>
            <w:r w:rsidR="001B695B" w:rsidRPr="00023BA2">
              <w:rPr>
                <w:color w:val="000000"/>
                <w:lang w:val="et-EE"/>
              </w:rPr>
              <w:t xml:space="preserve"> </w:t>
            </w:r>
            <w:r w:rsidRPr="00023BA2">
              <w:rPr>
                <w:color w:val="000000"/>
                <w:lang w:val="et-EE"/>
              </w:rPr>
              <w:t>Kaasa</w:t>
            </w:r>
            <w:r w:rsidR="00303C4B" w:rsidRPr="00023BA2">
              <w:rPr>
                <w:color w:val="000000"/>
                <w:lang w:val="et-EE"/>
              </w:rPr>
              <w:t>mise</w:t>
            </w:r>
            <w:r w:rsidRPr="00023BA2">
              <w:rPr>
                <w:color w:val="000000"/>
                <w:lang w:val="et-EE"/>
              </w:rPr>
              <w:t xml:space="preserve"> metoodikad on asjakohased </w:t>
            </w:r>
            <w:r w:rsidR="00EA1CD3" w:rsidRPr="00023BA2">
              <w:rPr>
                <w:color w:val="000000"/>
                <w:lang w:val="et-EE"/>
              </w:rPr>
              <w:t xml:space="preserve">ning sidus- ja </w:t>
            </w:r>
            <w:r w:rsidR="009A7A6E" w:rsidRPr="00023BA2">
              <w:rPr>
                <w:color w:val="000000"/>
                <w:lang w:val="et-EE"/>
              </w:rPr>
              <w:t xml:space="preserve">huvirühmad </w:t>
            </w:r>
            <w:r w:rsidRPr="00023BA2">
              <w:rPr>
                <w:color w:val="000000"/>
                <w:lang w:val="et-EE"/>
              </w:rPr>
              <w:t>on määratletud asjakohaselt.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D75BD" w:rsidTr="008A7268">
        <w:trPr>
          <w:cantSplit/>
        </w:trPr>
        <w:tc>
          <w:tcPr>
            <w:tcW w:w="606" w:type="dxa"/>
            <w:vMerge/>
          </w:tcPr>
          <w:p w:rsidR="00373CFA" w:rsidRPr="00023BA2" w:rsidRDefault="00373CFA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73CFA" w:rsidRPr="00FD75BD" w:rsidRDefault="00373CFA" w:rsidP="00387AD3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2764F4" w:rsidRPr="00FD75BD" w:rsidRDefault="00373CFA">
            <w:pPr>
              <w:ind w:left="11"/>
              <w:jc w:val="both"/>
              <w:rPr>
                <w:sz w:val="20"/>
                <w:szCs w:val="20"/>
                <w:lang w:val="et-EE"/>
              </w:rPr>
            </w:pPr>
            <w:r w:rsidRPr="00BA759D">
              <w:rPr>
                <w:color w:val="000000"/>
                <w:lang w:val="et-EE"/>
              </w:rPr>
              <w:t xml:space="preserve">Kaasatud </w:t>
            </w:r>
            <w:r w:rsidR="00F8697C">
              <w:rPr>
                <w:color w:val="000000"/>
                <w:lang w:val="et-EE"/>
              </w:rPr>
              <w:t xml:space="preserve">on erinevate sektorite </w:t>
            </w:r>
            <w:r w:rsidR="00F8697C" w:rsidRPr="005116E1">
              <w:rPr>
                <w:color w:val="000000"/>
                <w:lang w:val="et-EE"/>
              </w:rPr>
              <w:t>mitmed</w:t>
            </w:r>
            <w:r w:rsidR="00EA1CD3">
              <w:rPr>
                <w:color w:val="000000"/>
                <w:lang w:val="et-EE"/>
              </w:rPr>
              <w:t xml:space="preserve"> sidus- või</w:t>
            </w:r>
            <w:r w:rsidR="00F8697C">
              <w:rPr>
                <w:color w:val="000000"/>
                <w:lang w:val="et-EE"/>
              </w:rPr>
              <w:t xml:space="preserve"> </w:t>
            </w:r>
            <w:r w:rsidR="009A7A6E" w:rsidRPr="00BA759D">
              <w:rPr>
                <w:color w:val="000000"/>
                <w:lang w:val="et-EE"/>
              </w:rPr>
              <w:t>huvi</w:t>
            </w:r>
            <w:r w:rsidR="009A7A6E">
              <w:rPr>
                <w:color w:val="000000"/>
                <w:lang w:val="et-EE"/>
              </w:rPr>
              <w:t>rühmad</w:t>
            </w:r>
            <w:r w:rsidRPr="00BA759D">
              <w:rPr>
                <w:color w:val="000000"/>
                <w:lang w:val="et-EE"/>
              </w:rPr>
              <w:t>. Kaasa</w:t>
            </w:r>
            <w:r w:rsidR="00303C4B">
              <w:rPr>
                <w:color w:val="000000"/>
                <w:lang w:val="et-EE"/>
              </w:rPr>
              <w:t>mise</w:t>
            </w:r>
            <w:r w:rsidRPr="00BA759D">
              <w:rPr>
                <w:color w:val="000000"/>
                <w:lang w:val="et-EE"/>
              </w:rPr>
              <w:t xml:space="preserve"> </w:t>
            </w:r>
            <w:r w:rsidR="00D011F4" w:rsidRPr="00BA759D">
              <w:rPr>
                <w:color w:val="000000"/>
                <w:lang w:val="et-EE"/>
              </w:rPr>
              <w:t>metoodika</w:t>
            </w:r>
            <w:r w:rsidR="00D011F4">
              <w:rPr>
                <w:color w:val="000000"/>
                <w:lang w:val="et-EE"/>
              </w:rPr>
              <w:t>d on</w:t>
            </w:r>
            <w:r w:rsidR="00D011F4" w:rsidRPr="00BA759D">
              <w:rPr>
                <w:color w:val="000000"/>
                <w:lang w:val="et-EE"/>
              </w:rPr>
              <w:t xml:space="preserve"> </w:t>
            </w:r>
            <w:r w:rsidRPr="00BA759D">
              <w:rPr>
                <w:color w:val="000000"/>
                <w:lang w:val="et-EE"/>
              </w:rPr>
              <w:t>asjakohas</w:t>
            </w:r>
            <w:r w:rsidR="00D011F4">
              <w:rPr>
                <w:color w:val="000000"/>
                <w:lang w:val="et-EE"/>
              </w:rPr>
              <w:t>ed</w:t>
            </w:r>
            <w:r w:rsidRPr="00BA759D">
              <w:rPr>
                <w:color w:val="000000"/>
                <w:lang w:val="et-EE"/>
              </w:rPr>
              <w:t xml:space="preserve"> </w:t>
            </w:r>
            <w:r w:rsidR="0014460E">
              <w:rPr>
                <w:color w:val="000000"/>
                <w:lang w:val="et-EE"/>
              </w:rPr>
              <w:t>ja</w:t>
            </w:r>
            <w:r w:rsidR="0014460E" w:rsidRPr="00BA759D">
              <w:rPr>
                <w:color w:val="000000"/>
                <w:lang w:val="et-EE"/>
              </w:rPr>
              <w:t xml:space="preserve"> </w:t>
            </w:r>
            <w:r w:rsidRPr="00BA759D">
              <w:rPr>
                <w:color w:val="000000"/>
                <w:lang w:val="et-EE"/>
              </w:rPr>
              <w:t>vajaduspõhis</w:t>
            </w:r>
            <w:r w:rsidR="00D011F4">
              <w:rPr>
                <w:color w:val="000000"/>
                <w:lang w:val="et-EE"/>
              </w:rPr>
              <w:t>ed</w:t>
            </w:r>
            <w:r w:rsidR="000C16E8">
              <w:rPr>
                <w:color w:val="000000"/>
                <w:lang w:val="et-EE"/>
              </w:rPr>
              <w:t xml:space="preserve">, määratletud </w:t>
            </w:r>
            <w:r w:rsidR="00EA1CD3">
              <w:rPr>
                <w:color w:val="000000"/>
                <w:lang w:val="et-EE"/>
              </w:rPr>
              <w:t>sidus</w:t>
            </w:r>
            <w:r w:rsidR="00B4253F">
              <w:rPr>
                <w:color w:val="000000"/>
                <w:lang w:val="et-EE"/>
              </w:rPr>
              <w:t>-</w:t>
            </w:r>
            <w:r w:rsidR="00EA1CD3">
              <w:rPr>
                <w:color w:val="000000"/>
                <w:lang w:val="et-EE"/>
              </w:rPr>
              <w:t xml:space="preserve"> või </w:t>
            </w:r>
            <w:r w:rsidR="000C16E8">
              <w:rPr>
                <w:color w:val="000000"/>
                <w:lang w:val="et-EE"/>
              </w:rPr>
              <w:t>huvirühmad on asjakohased</w:t>
            </w:r>
            <w:r w:rsidRPr="00BA759D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73CFA" w:rsidRPr="00F8697C" w:rsidTr="008A7268">
        <w:trPr>
          <w:cantSplit/>
        </w:trPr>
        <w:tc>
          <w:tcPr>
            <w:tcW w:w="606" w:type="dxa"/>
            <w:vMerge w:val="restart"/>
          </w:tcPr>
          <w:p w:rsidR="00373CFA" w:rsidRPr="00F42169" w:rsidRDefault="00303C4B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11</w:t>
            </w:r>
            <w:r w:rsidR="00373CFA" w:rsidRPr="00F42169">
              <w:rPr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2835" w:type="dxa"/>
            <w:vMerge w:val="restart"/>
          </w:tcPr>
          <w:p w:rsidR="00373CFA" w:rsidRPr="00FD75BD" w:rsidRDefault="00373CFA" w:rsidP="00572C3D">
            <w:pPr>
              <w:jc w:val="both"/>
              <w:rPr>
                <w:sz w:val="20"/>
                <w:szCs w:val="20"/>
                <w:lang w:val="et-EE"/>
              </w:rPr>
            </w:pPr>
            <w:r w:rsidRPr="00FD75BD">
              <w:rPr>
                <w:color w:val="000000"/>
                <w:lang w:val="et-EE"/>
              </w:rPr>
              <w:t>Kohaliku tegevusgrupi kogemus ja suutlikkus</w:t>
            </w:r>
            <w:r w:rsidR="00572C3D">
              <w:rPr>
                <w:color w:val="000000"/>
                <w:lang w:val="et-EE"/>
              </w:rPr>
              <w:t xml:space="preserve"> </w:t>
            </w:r>
            <w:r w:rsidRPr="00FD75BD">
              <w:rPr>
                <w:color w:val="000000"/>
                <w:lang w:val="et-EE"/>
              </w:rPr>
              <w:t>administratiiv</w:t>
            </w:r>
            <w:r w:rsidR="005C19C2">
              <w:rPr>
                <w:color w:val="000000"/>
                <w:lang w:val="et-EE"/>
              </w:rPr>
              <w:t>-</w:t>
            </w:r>
            <w:r w:rsidRPr="00FD75BD">
              <w:rPr>
                <w:color w:val="000000"/>
                <w:lang w:val="et-EE"/>
              </w:rPr>
              <w:t xml:space="preserve"> ja finantsjuhtimises</w:t>
            </w:r>
          </w:p>
        </w:tc>
        <w:tc>
          <w:tcPr>
            <w:tcW w:w="8079" w:type="dxa"/>
          </w:tcPr>
          <w:p w:rsidR="002764F4" w:rsidRPr="00FD75BD" w:rsidRDefault="00815B83" w:rsidP="00B4253F">
            <w:pPr>
              <w:jc w:val="both"/>
              <w:rPr>
                <w:sz w:val="20"/>
                <w:szCs w:val="20"/>
                <w:lang w:val="et-EE"/>
              </w:rPr>
            </w:pPr>
            <w:r w:rsidRPr="001505B3">
              <w:rPr>
                <w:color w:val="000000"/>
                <w:lang w:val="et-EE"/>
              </w:rPr>
              <w:t xml:space="preserve">Kohaliku tegevusgrupi </w:t>
            </w:r>
            <w:r>
              <w:rPr>
                <w:color w:val="000000"/>
                <w:lang w:val="et-EE"/>
              </w:rPr>
              <w:t xml:space="preserve">eelmise </w:t>
            </w:r>
            <w:r w:rsidR="005C19C2">
              <w:rPr>
                <w:color w:val="000000"/>
                <w:lang w:val="et-EE"/>
              </w:rPr>
              <w:t>programmi</w:t>
            </w:r>
            <w:r>
              <w:rPr>
                <w:color w:val="000000"/>
                <w:lang w:val="et-EE"/>
              </w:rPr>
              <w:t>perioodi strateegiliste eesmärkide täitmise</w:t>
            </w:r>
            <w:r w:rsidR="00A02F84">
              <w:rPr>
                <w:color w:val="000000"/>
                <w:lang w:val="et-EE"/>
              </w:rPr>
              <w:t>, saavutatud tulemuste</w:t>
            </w:r>
            <w:r>
              <w:rPr>
                <w:color w:val="000000"/>
                <w:lang w:val="et-EE"/>
              </w:rPr>
              <w:t xml:space="preserve"> ja organisatsiooni toimimise analüüs on </w:t>
            </w:r>
            <w:r w:rsidR="00596EC1">
              <w:rPr>
                <w:color w:val="000000"/>
                <w:lang w:val="et-EE"/>
              </w:rPr>
              <w:t>üldsõnaline</w:t>
            </w:r>
            <w:r>
              <w:rPr>
                <w:color w:val="000000"/>
                <w:lang w:val="et-EE"/>
              </w:rPr>
              <w:t xml:space="preserve"> ning ettepanekud uueks perioodiks puudu</w:t>
            </w:r>
            <w:r w:rsidR="00596EC1">
              <w:rPr>
                <w:color w:val="000000"/>
                <w:lang w:val="et-EE"/>
              </w:rPr>
              <w:t>vad</w:t>
            </w:r>
            <w:r>
              <w:rPr>
                <w:color w:val="000000"/>
                <w:lang w:val="et-EE"/>
              </w:rPr>
              <w:t>.</w:t>
            </w:r>
            <w:r w:rsidR="00596EC1">
              <w:rPr>
                <w:color w:val="000000"/>
                <w:lang w:val="et-EE"/>
              </w:rPr>
              <w:t xml:space="preserve"> K</w:t>
            </w:r>
            <w:r w:rsidR="00596EC1" w:rsidRPr="00596EC1">
              <w:rPr>
                <w:color w:val="000000"/>
                <w:lang w:val="et-EE"/>
              </w:rPr>
              <w:t>ohaliku tegevusgrupi tegev</w:t>
            </w:r>
            <w:r w:rsidR="00B4253F">
              <w:rPr>
                <w:color w:val="000000"/>
                <w:lang w:val="et-EE"/>
              </w:rPr>
              <w:t>personali</w:t>
            </w:r>
            <w:r w:rsidR="00311631">
              <w:rPr>
                <w:color w:val="000000"/>
                <w:lang w:val="et-EE"/>
              </w:rPr>
              <w:t xml:space="preserve"> tööülesannete kirjeldus</w:t>
            </w:r>
            <w:r w:rsidR="00596EC1">
              <w:rPr>
                <w:color w:val="000000"/>
                <w:lang w:val="et-EE"/>
              </w:rPr>
              <w:t xml:space="preserve"> </w:t>
            </w:r>
            <w:r w:rsidR="00334D2B">
              <w:rPr>
                <w:color w:val="000000"/>
                <w:lang w:val="et-EE"/>
              </w:rPr>
              <w:t xml:space="preserve">ei too välja </w:t>
            </w:r>
            <w:r w:rsidR="001B695B">
              <w:rPr>
                <w:color w:val="000000"/>
                <w:lang w:val="et-EE"/>
              </w:rPr>
              <w:t>tegev</w:t>
            </w:r>
            <w:r w:rsidR="00B4253F">
              <w:rPr>
                <w:color w:val="000000"/>
                <w:lang w:val="et-EE"/>
              </w:rPr>
              <w:t>personali</w:t>
            </w:r>
            <w:r w:rsidR="001B695B">
              <w:rPr>
                <w:color w:val="000000"/>
                <w:lang w:val="et-EE"/>
              </w:rPr>
              <w:t xml:space="preserve"> </w:t>
            </w:r>
            <w:r w:rsidR="00334D2B">
              <w:rPr>
                <w:color w:val="000000"/>
                <w:lang w:val="et-EE"/>
              </w:rPr>
              <w:t>kogemust</w:t>
            </w:r>
            <w:r w:rsidR="00334D2B" w:rsidRPr="00596EC1">
              <w:rPr>
                <w:color w:val="000000"/>
                <w:lang w:val="et-EE"/>
              </w:rPr>
              <w:t xml:space="preserve"> </w:t>
            </w:r>
            <w:r w:rsidR="001B695B" w:rsidRPr="00596EC1">
              <w:rPr>
                <w:color w:val="000000"/>
                <w:lang w:val="et-EE"/>
              </w:rPr>
              <w:t>admin</w:t>
            </w:r>
            <w:r w:rsidR="001B695B">
              <w:rPr>
                <w:color w:val="000000"/>
                <w:lang w:val="et-EE"/>
              </w:rPr>
              <w:t xml:space="preserve">istratiiv- </w:t>
            </w:r>
            <w:r w:rsidR="00334D2B">
              <w:rPr>
                <w:color w:val="000000"/>
                <w:lang w:val="et-EE"/>
              </w:rPr>
              <w:t>ja finantsjuhtimises.</w:t>
            </w:r>
          </w:p>
        </w:tc>
        <w:tc>
          <w:tcPr>
            <w:tcW w:w="1276" w:type="dxa"/>
          </w:tcPr>
          <w:p w:rsidR="00373CFA" w:rsidRPr="007F2F52" w:rsidRDefault="00373CFA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73CFA" w:rsidRPr="00FD75BD" w:rsidRDefault="00373CFA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596EC1" w:rsidRPr="00596EC1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2764F4" w:rsidRPr="00303C4B" w:rsidRDefault="00596EC1" w:rsidP="00B4253F">
            <w:pPr>
              <w:jc w:val="both"/>
              <w:rPr>
                <w:color w:val="000000"/>
                <w:lang w:val="et-EE"/>
              </w:rPr>
            </w:pPr>
            <w:r w:rsidRPr="005507CF">
              <w:rPr>
                <w:color w:val="000000"/>
                <w:lang w:val="et-EE"/>
              </w:rPr>
              <w:t xml:space="preserve">Kohaliku tegevusgrupi eelmise perioodi strateegiliste eesmärkide täitmise, saavutatud tulemuste ja organisatsiooni toimimise analüüs ning ettepanekud uueks perioodiks </w:t>
            </w:r>
            <w:r w:rsidR="00C46318" w:rsidRPr="005507CF">
              <w:rPr>
                <w:color w:val="000000"/>
                <w:lang w:val="et-EE"/>
              </w:rPr>
              <w:t xml:space="preserve">on </w:t>
            </w:r>
            <w:r w:rsidR="001B695B">
              <w:rPr>
                <w:color w:val="000000"/>
                <w:lang w:val="et-EE"/>
              </w:rPr>
              <w:t>üldsõnalised</w:t>
            </w:r>
            <w:r w:rsidRPr="005507CF">
              <w:rPr>
                <w:color w:val="000000"/>
                <w:lang w:val="et-EE"/>
              </w:rPr>
              <w:t>. Kohaliku tegevusgrupi tegev</w:t>
            </w:r>
            <w:r w:rsidR="00B4253F">
              <w:rPr>
                <w:color w:val="000000"/>
                <w:lang w:val="et-EE"/>
              </w:rPr>
              <w:t>personali</w:t>
            </w:r>
            <w:r w:rsidR="00C46318" w:rsidRPr="005507CF">
              <w:rPr>
                <w:color w:val="000000"/>
                <w:lang w:val="et-EE"/>
              </w:rPr>
              <w:t xml:space="preserve"> tööülesannete kirjeldus </w:t>
            </w:r>
            <w:r w:rsidR="001374F8" w:rsidRPr="005507CF">
              <w:rPr>
                <w:color w:val="000000"/>
                <w:lang w:val="et-EE"/>
              </w:rPr>
              <w:t>toob osalise</w:t>
            </w:r>
            <w:r w:rsidR="001B695B">
              <w:rPr>
                <w:color w:val="000000"/>
                <w:lang w:val="et-EE"/>
              </w:rPr>
              <w:t>lt</w:t>
            </w:r>
            <w:r w:rsidR="001374F8" w:rsidRPr="005507CF">
              <w:rPr>
                <w:color w:val="000000"/>
                <w:lang w:val="et-EE"/>
              </w:rPr>
              <w:t xml:space="preserve"> </w:t>
            </w:r>
            <w:r w:rsidR="0014460E" w:rsidRPr="005507CF">
              <w:rPr>
                <w:color w:val="000000"/>
                <w:lang w:val="et-EE"/>
              </w:rPr>
              <w:t>välja</w:t>
            </w:r>
            <w:r w:rsidR="0014460E">
              <w:rPr>
                <w:color w:val="000000"/>
                <w:lang w:val="et-EE"/>
              </w:rPr>
              <w:t xml:space="preserve"> </w:t>
            </w:r>
            <w:r w:rsidR="001B695B">
              <w:rPr>
                <w:color w:val="000000"/>
                <w:lang w:val="et-EE"/>
              </w:rPr>
              <w:t>tegev</w:t>
            </w:r>
            <w:r w:rsidR="00B4253F">
              <w:rPr>
                <w:color w:val="000000"/>
                <w:lang w:val="et-EE"/>
              </w:rPr>
              <w:t>personali</w:t>
            </w:r>
            <w:r w:rsidRPr="005507CF">
              <w:rPr>
                <w:color w:val="000000"/>
                <w:lang w:val="et-EE"/>
              </w:rPr>
              <w:t>kogemus</w:t>
            </w:r>
            <w:r w:rsidR="001B695B">
              <w:rPr>
                <w:color w:val="000000"/>
                <w:lang w:val="et-EE"/>
              </w:rPr>
              <w:t>e</w:t>
            </w:r>
            <w:r w:rsidRPr="005507CF">
              <w:rPr>
                <w:color w:val="000000"/>
                <w:lang w:val="et-EE"/>
              </w:rPr>
              <w:t xml:space="preserve"> </w:t>
            </w:r>
            <w:r w:rsidR="001B695B" w:rsidRPr="005507CF">
              <w:rPr>
                <w:color w:val="000000"/>
                <w:lang w:val="et-EE"/>
              </w:rPr>
              <w:t>administratiiv</w:t>
            </w:r>
            <w:r w:rsidR="001B695B">
              <w:rPr>
                <w:color w:val="000000"/>
                <w:lang w:val="et-EE"/>
              </w:rPr>
              <w:t>-</w:t>
            </w:r>
            <w:r w:rsidR="001B695B" w:rsidRPr="005507CF">
              <w:rPr>
                <w:color w:val="000000"/>
                <w:lang w:val="et-EE"/>
              </w:rPr>
              <w:t xml:space="preserve"> </w:t>
            </w:r>
            <w:r w:rsidRPr="005507CF">
              <w:rPr>
                <w:color w:val="000000"/>
                <w:lang w:val="et-EE"/>
              </w:rPr>
              <w:t>ja finantsjuhtimises.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596EC1" w:rsidRPr="002D5875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2764F4" w:rsidRPr="00303C4B" w:rsidRDefault="00596EC1" w:rsidP="00B4253F">
            <w:pPr>
              <w:jc w:val="both"/>
              <w:rPr>
                <w:color w:val="000000"/>
                <w:lang w:val="et-EE"/>
              </w:rPr>
            </w:pPr>
            <w:r w:rsidRPr="005507CF">
              <w:rPr>
                <w:color w:val="000000"/>
                <w:lang w:val="et-EE"/>
              </w:rPr>
              <w:t xml:space="preserve">Kohaliku tegevusgrupi eelmise perioodi strateegiliste eesmärkide täitmise, saavutatud tulemuste ja organisatsiooni toimimise analüüs on </w:t>
            </w:r>
            <w:r w:rsidR="00C46318" w:rsidRPr="005507CF">
              <w:rPr>
                <w:color w:val="000000"/>
                <w:lang w:val="et-EE"/>
              </w:rPr>
              <w:t>selge, kuid</w:t>
            </w:r>
            <w:r w:rsidRPr="005507CF">
              <w:rPr>
                <w:color w:val="000000"/>
                <w:lang w:val="et-EE"/>
              </w:rPr>
              <w:t xml:space="preserve"> ettepanekud uueks perioodiks </w:t>
            </w:r>
            <w:r w:rsidR="009E67E5" w:rsidRPr="005507CF">
              <w:rPr>
                <w:color w:val="000000"/>
                <w:lang w:val="et-EE"/>
              </w:rPr>
              <w:t xml:space="preserve">on </w:t>
            </w:r>
            <w:r w:rsidR="001374F8" w:rsidRPr="005507CF">
              <w:rPr>
                <w:color w:val="000000"/>
                <w:lang w:val="et-EE"/>
              </w:rPr>
              <w:t>ebapiisavad</w:t>
            </w:r>
            <w:r w:rsidR="002D5875">
              <w:rPr>
                <w:color w:val="000000"/>
                <w:lang w:val="et-EE"/>
              </w:rPr>
              <w:t>.</w:t>
            </w:r>
            <w:r w:rsidRPr="005507CF">
              <w:rPr>
                <w:color w:val="000000"/>
                <w:lang w:val="et-EE"/>
              </w:rPr>
              <w:t xml:space="preserve"> Kohal</w:t>
            </w:r>
            <w:r w:rsidR="002764F4">
              <w:rPr>
                <w:color w:val="000000"/>
                <w:lang w:val="et-EE"/>
              </w:rPr>
              <w:t>iku tegevusgrupi tegev</w:t>
            </w:r>
            <w:r w:rsidR="00B4253F">
              <w:rPr>
                <w:color w:val="000000"/>
                <w:lang w:val="et-EE"/>
              </w:rPr>
              <w:t>personali</w:t>
            </w:r>
            <w:r w:rsidRPr="005507CF">
              <w:rPr>
                <w:color w:val="000000"/>
                <w:lang w:val="et-EE"/>
              </w:rPr>
              <w:t xml:space="preserve"> </w:t>
            </w:r>
            <w:r w:rsidR="00C46318" w:rsidRPr="005507CF">
              <w:rPr>
                <w:color w:val="000000"/>
                <w:lang w:val="et-EE"/>
              </w:rPr>
              <w:t xml:space="preserve">tööülesannete kirjeldus </w:t>
            </w:r>
            <w:r w:rsidR="001374F8" w:rsidRPr="005507CF">
              <w:rPr>
                <w:color w:val="000000"/>
                <w:lang w:val="et-EE"/>
              </w:rPr>
              <w:t xml:space="preserve">toob välja </w:t>
            </w:r>
            <w:r w:rsidR="001B695B">
              <w:rPr>
                <w:color w:val="000000"/>
                <w:lang w:val="et-EE"/>
              </w:rPr>
              <w:t>tegev</w:t>
            </w:r>
            <w:r w:rsidR="00B4253F">
              <w:rPr>
                <w:color w:val="000000"/>
                <w:lang w:val="et-EE"/>
              </w:rPr>
              <w:t>personali</w:t>
            </w:r>
            <w:r w:rsidR="001B695B" w:rsidRPr="005507CF">
              <w:rPr>
                <w:color w:val="000000"/>
                <w:lang w:val="et-EE"/>
              </w:rPr>
              <w:t xml:space="preserve"> </w:t>
            </w:r>
            <w:r w:rsidRPr="005507CF">
              <w:rPr>
                <w:color w:val="000000"/>
                <w:lang w:val="et-EE"/>
              </w:rPr>
              <w:t>kogemus</w:t>
            </w:r>
            <w:r w:rsidR="002764F4">
              <w:rPr>
                <w:color w:val="000000"/>
                <w:lang w:val="et-EE"/>
              </w:rPr>
              <w:t>e</w:t>
            </w:r>
            <w:r w:rsidRPr="005507CF">
              <w:rPr>
                <w:color w:val="000000"/>
                <w:lang w:val="et-EE"/>
              </w:rPr>
              <w:t xml:space="preserve"> </w:t>
            </w:r>
            <w:r w:rsidR="001B695B" w:rsidRPr="005507CF">
              <w:rPr>
                <w:color w:val="000000"/>
                <w:lang w:val="et-EE"/>
              </w:rPr>
              <w:t>administratiiv</w:t>
            </w:r>
            <w:r w:rsidR="001B695B">
              <w:rPr>
                <w:color w:val="000000"/>
                <w:lang w:val="et-EE"/>
              </w:rPr>
              <w:t>-</w:t>
            </w:r>
            <w:r w:rsidR="001B695B" w:rsidRPr="005507CF">
              <w:rPr>
                <w:color w:val="000000"/>
                <w:lang w:val="et-EE"/>
              </w:rPr>
              <w:t xml:space="preserve"> </w:t>
            </w:r>
            <w:r w:rsidRPr="005507CF">
              <w:rPr>
                <w:color w:val="000000"/>
                <w:lang w:val="et-EE"/>
              </w:rPr>
              <w:t>ja finantsjuhtimises</w:t>
            </w:r>
            <w:r w:rsidR="009E67E5" w:rsidRPr="005507CF">
              <w:rPr>
                <w:color w:val="000000"/>
                <w:lang w:val="et-EE"/>
              </w:rPr>
              <w:t>.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596EC1" w:rsidRPr="00F8697C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2764F4" w:rsidRPr="00303C4B" w:rsidRDefault="00596EC1" w:rsidP="00B4253F">
            <w:pPr>
              <w:jc w:val="both"/>
              <w:rPr>
                <w:color w:val="000000"/>
                <w:lang w:val="et-EE"/>
              </w:rPr>
            </w:pPr>
            <w:r w:rsidRPr="001505B3">
              <w:rPr>
                <w:color w:val="000000"/>
                <w:lang w:val="et-EE"/>
              </w:rPr>
              <w:t xml:space="preserve">Kohaliku tegevusgrupi </w:t>
            </w:r>
            <w:r>
              <w:rPr>
                <w:color w:val="000000"/>
                <w:lang w:val="et-EE"/>
              </w:rPr>
              <w:t xml:space="preserve">eelmise perioodi strateegiliste eesmärkide täitmise, saavutatud tulemuste ja organisatsiooni toimimise analüüs on </w:t>
            </w:r>
            <w:r w:rsidR="001B695B">
              <w:rPr>
                <w:color w:val="000000"/>
                <w:lang w:val="et-EE"/>
              </w:rPr>
              <w:t xml:space="preserve">põhjalik </w:t>
            </w:r>
            <w:r>
              <w:rPr>
                <w:color w:val="000000"/>
                <w:lang w:val="et-EE"/>
              </w:rPr>
              <w:t xml:space="preserve">ja selgelt kirjeldatud ning </w:t>
            </w:r>
            <w:r w:rsidR="001B695B">
              <w:rPr>
                <w:color w:val="000000"/>
                <w:lang w:val="et-EE"/>
              </w:rPr>
              <w:t xml:space="preserve">esitatud on </w:t>
            </w:r>
            <w:r>
              <w:rPr>
                <w:color w:val="000000"/>
                <w:lang w:val="et-EE"/>
              </w:rPr>
              <w:t>ettepanekud uueks perioodiks</w:t>
            </w:r>
            <w:r w:rsidR="001B695B">
              <w:rPr>
                <w:color w:val="000000"/>
                <w:lang w:val="et-EE"/>
              </w:rPr>
              <w:t>.</w:t>
            </w:r>
            <w:r>
              <w:rPr>
                <w:color w:val="000000"/>
                <w:lang w:val="et-EE"/>
              </w:rPr>
              <w:t xml:space="preserve"> K</w:t>
            </w:r>
            <w:r w:rsidRPr="00596EC1">
              <w:rPr>
                <w:color w:val="000000"/>
                <w:lang w:val="et-EE"/>
              </w:rPr>
              <w:t>ohaliku tegevusgrupi tegev</w:t>
            </w:r>
            <w:r w:rsidR="00B4253F">
              <w:rPr>
                <w:color w:val="000000"/>
                <w:lang w:val="et-EE"/>
              </w:rPr>
              <w:t>personali</w:t>
            </w:r>
            <w:r w:rsidR="00311631">
              <w:rPr>
                <w:color w:val="000000"/>
                <w:lang w:val="et-EE"/>
              </w:rPr>
              <w:t xml:space="preserve"> tööülesannete selge kirjeldus toob välja </w:t>
            </w:r>
            <w:r w:rsidR="001B695B">
              <w:rPr>
                <w:color w:val="000000"/>
                <w:lang w:val="et-EE"/>
              </w:rPr>
              <w:t>tegev</w:t>
            </w:r>
            <w:r w:rsidR="00B4253F">
              <w:rPr>
                <w:color w:val="000000"/>
                <w:lang w:val="et-EE"/>
              </w:rPr>
              <w:t>personali</w:t>
            </w:r>
            <w:r w:rsidR="001B695B">
              <w:rPr>
                <w:color w:val="000000"/>
                <w:lang w:val="et-EE"/>
              </w:rPr>
              <w:t xml:space="preserve"> </w:t>
            </w:r>
            <w:r w:rsidR="00311631">
              <w:rPr>
                <w:color w:val="000000"/>
                <w:lang w:val="et-EE"/>
              </w:rPr>
              <w:t>kogemuse</w:t>
            </w:r>
            <w:r w:rsidRPr="00596EC1">
              <w:rPr>
                <w:color w:val="000000"/>
                <w:lang w:val="et-EE"/>
              </w:rPr>
              <w:t xml:space="preserve"> </w:t>
            </w:r>
            <w:r w:rsidR="001B695B" w:rsidRPr="00596EC1">
              <w:rPr>
                <w:color w:val="000000"/>
                <w:lang w:val="et-EE"/>
              </w:rPr>
              <w:t>admin</w:t>
            </w:r>
            <w:r w:rsidR="001B695B">
              <w:rPr>
                <w:color w:val="000000"/>
                <w:lang w:val="et-EE"/>
              </w:rPr>
              <w:t xml:space="preserve">istratiiv- </w:t>
            </w:r>
            <w:r>
              <w:rPr>
                <w:color w:val="000000"/>
                <w:lang w:val="et-EE"/>
              </w:rPr>
              <w:t>ja finantsjuhtimises.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596EC1" w:rsidRPr="00FD75BD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</w:tr>
      <w:tr w:rsidR="00303C4B" w:rsidRPr="001D743D" w:rsidTr="008A7268">
        <w:trPr>
          <w:cantSplit/>
        </w:trPr>
        <w:tc>
          <w:tcPr>
            <w:tcW w:w="606" w:type="dxa"/>
            <w:vMerge w:val="restart"/>
          </w:tcPr>
          <w:p w:rsidR="00303C4B" w:rsidRPr="00CE0DBE" w:rsidRDefault="00303C4B" w:rsidP="00CE0DBE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CE0DBE">
              <w:rPr>
                <w:b/>
                <w:sz w:val="20"/>
                <w:szCs w:val="20"/>
                <w:lang w:val="et-EE"/>
              </w:rPr>
              <w:t>12.</w:t>
            </w:r>
          </w:p>
        </w:tc>
        <w:tc>
          <w:tcPr>
            <w:tcW w:w="2835" w:type="dxa"/>
            <w:vMerge w:val="restart"/>
          </w:tcPr>
          <w:p w:rsidR="00303C4B" w:rsidRDefault="00303C4B" w:rsidP="00A84A7D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Projektide valikukriteeriumid</w:t>
            </w:r>
          </w:p>
        </w:tc>
        <w:tc>
          <w:tcPr>
            <w:tcW w:w="8079" w:type="dxa"/>
          </w:tcPr>
          <w:p w:rsidR="00303C4B" w:rsidRDefault="007F2F52" w:rsidP="007918B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Projektide valikukriteeriumid on </w:t>
            </w:r>
            <w:r w:rsidR="001B695B">
              <w:rPr>
                <w:lang w:val="et-EE"/>
              </w:rPr>
              <w:t>üldised ja mitmeti</w:t>
            </w:r>
            <w:r w:rsidR="0033710D">
              <w:rPr>
                <w:lang w:val="et-EE"/>
              </w:rPr>
              <w:t xml:space="preserve"> </w:t>
            </w:r>
            <w:r w:rsidR="001B695B">
              <w:rPr>
                <w:lang w:val="et-EE"/>
              </w:rPr>
              <w:t>mõist</w:t>
            </w:r>
            <w:r w:rsidR="003D332C">
              <w:rPr>
                <w:lang w:val="et-EE"/>
              </w:rPr>
              <w:t>e</w:t>
            </w:r>
            <w:r w:rsidR="001B695B">
              <w:rPr>
                <w:lang w:val="et-EE"/>
              </w:rPr>
              <w:t xml:space="preserve">tavad ning </w:t>
            </w:r>
            <w:r w:rsidR="00400F07" w:rsidRPr="00400F07">
              <w:rPr>
                <w:lang w:val="et-EE"/>
              </w:rPr>
              <w:t>ei vasta strateegia eesmärkidele ja meetmetele.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303C4B" w:rsidRPr="001D743D" w:rsidRDefault="00303C4B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303C4B" w:rsidRPr="001D743D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Default="00303C4B" w:rsidP="00A84A7D">
            <w:pPr>
              <w:jc w:val="both"/>
              <w:rPr>
                <w:lang w:val="et-EE"/>
              </w:rPr>
            </w:pPr>
          </w:p>
        </w:tc>
        <w:tc>
          <w:tcPr>
            <w:tcW w:w="8079" w:type="dxa"/>
          </w:tcPr>
          <w:p w:rsidR="00303C4B" w:rsidRDefault="007918BE" w:rsidP="007918BE">
            <w:pPr>
              <w:jc w:val="both"/>
              <w:rPr>
                <w:lang w:val="et-EE"/>
              </w:rPr>
            </w:pPr>
            <w:r w:rsidRPr="005116E1">
              <w:rPr>
                <w:lang w:val="et-EE"/>
              </w:rPr>
              <w:t>Vähesed</w:t>
            </w:r>
            <w:r w:rsidR="001B695B">
              <w:rPr>
                <w:lang w:val="et-EE"/>
              </w:rPr>
              <w:t xml:space="preserve"> p</w:t>
            </w:r>
            <w:r w:rsidR="007F2F52">
              <w:rPr>
                <w:lang w:val="et-EE"/>
              </w:rPr>
              <w:t>rojektide valikukriteeriumi</w:t>
            </w:r>
            <w:r w:rsidR="001B695B">
              <w:rPr>
                <w:lang w:val="et-EE"/>
              </w:rPr>
              <w:t>test on asjakohased</w:t>
            </w:r>
            <w:r>
              <w:rPr>
                <w:lang w:val="et-EE"/>
              </w:rPr>
              <w:t xml:space="preserve">. </w:t>
            </w:r>
            <w:r w:rsidRPr="005116E1">
              <w:rPr>
                <w:lang w:val="et-EE"/>
              </w:rPr>
              <w:t>Suurem osa</w:t>
            </w:r>
            <w:r>
              <w:rPr>
                <w:lang w:val="et-EE"/>
              </w:rPr>
              <w:t xml:space="preserve"> projektide valikukriteeriumitest ei vasta</w:t>
            </w:r>
            <w:r w:rsidR="00FF420B">
              <w:rPr>
                <w:lang w:val="et-EE"/>
              </w:rPr>
              <w:t xml:space="preserve"> strateegia eesmärkide</w:t>
            </w:r>
            <w:r>
              <w:rPr>
                <w:lang w:val="et-EE"/>
              </w:rPr>
              <w:t>le ja meetmetele.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303C4B" w:rsidRPr="001D743D" w:rsidRDefault="00303C4B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303C4B" w:rsidRPr="001D743D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Default="00303C4B" w:rsidP="00A84A7D">
            <w:pPr>
              <w:jc w:val="both"/>
              <w:rPr>
                <w:lang w:val="et-EE"/>
              </w:rPr>
            </w:pPr>
          </w:p>
        </w:tc>
        <w:tc>
          <w:tcPr>
            <w:tcW w:w="8079" w:type="dxa"/>
          </w:tcPr>
          <w:p w:rsidR="00303C4B" w:rsidRDefault="007918BE" w:rsidP="007918BE">
            <w:pPr>
              <w:jc w:val="both"/>
              <w:rPr>
                <w:lang w:val="et-EE"/>
              </w:rPr>
            </w:pPr>
            <w:r w:rsidRPr="005116E1">
              <w:rPr>
                <w:lang w:val="et-EE"/>
              </w:rPr>
              <w:t>Enamik</w:t>
            </w:r>
            <w:r w:rsidR="001B695B">
              <w:rPr>
                <w:lang w:val="et-EE"/>
              </w:rPr>
              <w:t xml:space="preserve"> p</w:t>
            </w:r>
            <w:r w:rsidR="007F2F52">
              <w:rPr>
                <w:lang w:val="et-EE"/>
              </w:rPr>
              <w:t>rojektide valikukriteeriumi</w:t>
            </w:r>
            <w:r w:rsidR="001B695B">
              <w:rPr>
                <w:lang w:val="et-EE"/>
              </w:rPr>
              <w:t xml:space="preserve">test </w:t>
            </w:r>
            <w:r w:rsidR="007F2F52">
              <w:rPr>
                <w:lang w:val="et-EE"/>
              </w:rPr>
              <w:t xml:space="preserve">on </w:t>
            </w:r>
            <w:r w:rsidR="001B695B">
              <w:rPr>
                <w:lang w:val="et-EE"/>
              </w:rPr>
              <w:t>asjakohased ja üheselt mõistetavad</w:t>
            </w:r>
            <w:r w:rsidR="00FF420B">
              <w:rPr>
                <w:lang w:val="et-EE"/>
              </w:rPr>
              <w:t xml:space="preserve"> ning selges seoses strateegia eesmärkide</w:t>
            </w:r>
            <w:r>
              <w:rPr>
                <w:lang w:val="et-EE"/>
              </w:rPr>
              <w:t xml:space="preserve"> ja meetmete</w:t>
            </w:r>
            <w:r w:rsidR="00FF420B">
              <w:rPr>
                <w:lang w:val="et-EE"/>
              </w:rPr>
              <w:t>ga.</w:t>
            </w:r>
            <w:r w:rsidR="00400F07">
              <w:t xml:space="preserve">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303C4B" w:rsidRPr="001D743D" w:rsidRDefault="00303C4B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303C4B" w:rsidRPr="001D743D" w:rsidTr="008A7268">
        <w:trPr>
          <w:cantSplit/>
        </w:trPr>
        <w:tc>
          <w:tcPr>
            <w:tcW w:w="606" w:type="dxa"/>
            <w:vMerge/>
          </w:tcPr>
          <w:p w:rsidR="00303C4B" w:rsidRPr="00023BA2" w:rsidRDefault="00303C4B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303C4B" w:rsidRDefault="00303C4B" w:rsidP="00A84A7D">
            <w:pPr>
              <w:jc w:val="both"/>
              <w:rPr>
                <w:lang w:val="et-EE"/>
              </w:rPr>
            </w:pPr>
          </w:p>
        </w:tc>
        <w:tc>
          <w:tcPr>
            <w:tcW w:w="8079" w:type="dxa"/>
          </w:tcPr>
          <w:p w:rsidR="00303C4B" w:rsidRDefault="007F2F52" w:rsidP="007918B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Projektide valikukriteeriumid on </w:t>
            </w:r>
            <w:r w:rsidR="001B695B">
              <w:rPr>
                <w:lang w:val="et-EE"/>
              </w:rPr>
              <w:t xml:space="preserve">asjakohased ning </w:t>
            </w:r>
            <w:r w:rsidR="007918BE">
              <w:rPr>
                <w:lang w:val="et-EE"/>
              </w:rPr>
              <w:t>vastavad</w:t>
            </w:r>
            <w:r w:rsidR="001B695B">
              <w:rPr>
                <w:lang w:val="et-EE"/>
              </w:rPr>
              <w:t xml:space="preserve"> strateegia eesmärkide</w:t>
            </w:r>
            <w:r w:rsidR="007918BE">
              <w:rPr>
                <w:lang w:val="et-EE"/>
              </w:rPr>
              <w:t>le ja meetmetele</w:t>
            </w:r>
            <w:r w:rsidR="001B695B">
              <w:rPr>
                <w:lang w:val="et-EE"/>
              </w:rPr>
              <w:t>.</w:t>
            </w:r>
            <w:r w:rsidR="00400F07">
              <w:t xml:space="preserve"> </w:t>
            </w:r>
          </w:p>
        </w:tc>
        <w:tc>
          <w:tcPr>
            <w:tcW w:w="1276" w:type="dxa"/>
          </w:tcPr>
          <w:p w:rsidR="00303C4B" w:rsidRPr="007F2F52" w:rsidRDefault="007F2F52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303C4B" w:rsidRPr="001D743D" w:rsidRDefault="00303C4B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1D743D" w:rsidTr="008A7268">
        <w:trPr>
          <w:cantSplit/>
        </w:trPr>
        <w:tc>
          <w:tcPr>
            <w:tcW w:w="606" w:type="dxa"/>
            <w:vMerge w:val="restart"/>
          </w:tcPr>
          <w:p w:rsidR="00596EC1" w:rsidRPr="00F42169" w:rsidRDefault="00303C4B" w:rsidP="00F42169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F42169">
              <w:rPr>
                <w:b/>
                <w:sz w:val="20"/>
                <w:szCs w:val="20"/>
                <w:lang w:val="et-EE"/>
              </w:rPr>
              <w:t>13</w:t>
            </w:r>
            <w:r w:rsidR="00596EC1" w:rsidRPr="00F42169">
              <w:rPr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2835" w:type="dxa"/>
            <w:vMerge w:val="restart"/>
          </w:tcPr>
          <w:p w:rsidR="00596EC1" w:rsidRPr="00C53BAB" w:rsidRDefault="00303C4B" w:rsidP="00303C4B">
            <w:pPr>
              <w:jc w:val="both"/>
              <w:rPr>
                <w:sz w:val="20"/>
                <w:szCs w:val="20"/>
                <w:lang w:val="et-EE"/>
              </w:rPr>
            </w:pPr>
            <w:r>
              <w:rPr>
                <w:lang w:val="et-EE"/>
              </w:rPr>
              <w:t>T</w:t>
            </w:r>
            <w:r w:rsidR="00596EC1" w:rsidRPr="00C53BAB">
              <w:rPr>
                <w:lang w:val="et-EE"/>
              </w:rPr>
              <w:t>öö- ja otsust</w:t>
            </w:r>
            <w:r w:rsidR="00BE7146">
              <w:rPr>
                <w:lang w:val="et-EE"/>
              </w:rPr>
              <w:t>usprotsessid</w:t>
            </w:r>
            <w:r w:rsidR="006A6FAA">
              <w:rPr>
                <w:lang w:val="et-EE"/>
              </w:rPr>
              <w:t>e,</w:t>
            </w:r>
            <w:r w:rsidR="00ED0C26">
              <w:rPr>
                <w:lang w:val="et-EE"/>
              </w:rPr>
              <w:t xml:space="preserve"> s</w:t>
            </w:r>
            <w:r w:rsidR="006A6FAA">
              <w:rPr>
                <w:lang w:val="et-EE"/>
              </w:rPr>
              <w:t>ealhulgas</w:t>
            </w:r>
            <w:r w:rsidR="00ED0C26">
              <w:rPr>
                <w:lang w:val="et-EE"/>
              </w:rPr>
              <w:t xml:space="preserve"> seire- ja hindamiskor</w:t>
            </w:r>
            <w:r w:rsidR="006A6FAA">
              <w:rPr>
                <w:lang w:val="et-EE"/>
              </w:rPr>
              <w:t>ra selgus ja läbipaistvus</w:t>
            </w:r>
          </w:p>
        </w:tc>
        <w:tc>
          <w:tcPr>
            <w:tcW w:w="8079" w:type="dxa"/>
          </w:tcPr>
          <w:p w:rsidR="002764F4" w:rsidRPr="00023BA2" w:rsidRDefault="007F2F52" w:rsidP="00FF420B">
            <w:pPr>
              <w:jc w:val="both"/>
              <w:rPr>
                <w:sz w:val="20"/>
                <w:szCs w:val="20"/>
                <w:lang w:val="et-EE"/>
              </w:rPr>
            </w:pPr>
            <w:r w:rsidRPr="00023BA2">
              <w:rPr>
                <w:lang w:val="et-EE"/>
              </w:rPr>
              <w:t>T</w:t>
            </w:r>
            <w:r w:rsidR="00BE7146" w:rsidRPr="00023BA2">
              <w:rPr>
                <w:lang w:val="et-EE"/>
              </w:rPr>
              <w:t>öö- ja otsustusprotsessid</w:t>
            </w:r>
            <w:r w:rsidR="007918BE" w:rsidRPr="00023BA2">
              <w:rPr>
                <w:lang w:val="et-EE"/>
              </w:rPr>
              <w:t>,</w:t>
            </w:r>
            <w:r w:rsidR="00047B22" w:rsidRPr="00023BA2">
              <w:rPr>
                <w:lang w:val="et-EE"/>
              </w:rPr>
              <w:t xml:space="preserve"> </w:t>
            </w:r>
            <w:r w:rsidR="001C0A38" w:rsidRPr="00023BA2">
              <w:rPr>
                <w:lang w:val="et-EE"/>
              </w:rPr>
              <w:t>sh seire- ja hindamiskord</w:t>
            </w:r>
            <w:r w:rsidR="00017168" w:rsidRPr="00023BA2">
              <w:rPr>
                <w:lang w:val="et-EE"/>
              </w:rPr>
              <w:t>,</w:t>
            </w:r>
            <w:r w:rsidR="001C0A38" w:rsidRPr="00023BA2">
              <w:rPr>
                <w:lang w:val="et-EE"/>
              </w:rPr>
              <w:t xml:space="preserve"> </w:t>
            </w:r>
            <w:r w:rsidR="00FF420B" w:rsidRPr="00023BA2">
              <w:rPr>
                <w:lang w:val="et-EE"/>
              </w:rPr>
              <w:t>ning strateegia</w:t>
            </w:r>
            <w:r w:rsidR="00FE213A" w:rsidRPr="00023BA2">
              <w:rPr>
                <w:lang w:val="et-EE"/>
              </w:rPr>
              <w:t xml:space="preserve"> uuendamise kord </w:t>
            </w:r>
            <w:r w:rsidR="00596EC1" w:rsidRPr="00023BA2">
              <w:rPr>
                <w:lang w:val="et-EE"/>
              </w:rPr>
              <w:t xml:space="preserve">on kirjeldatud </w:t>
            </w:r>
            <w:r w:rsidR="00FF420B" w:rsidRPr="00023BA2">
              <w:rPr>
                <w:lang w:val="et-EE"/>
              </w:rPr>
              <w:t>üldsõnaliselt</w:t>
            </w:r>
            <w:r w:rsidR="00047B22" w:rsidRPr="00023BA2">
              <w:rPr>
                <w:lang w:val="et-EE"/>
              </w:rPr>
              <w:t>.</w:t>
            </w:r>
          </w:p>
        </w:tc>
        <w:tc>
          <w:tcPr>
            <w:tcW w:w="1276" w:type="dxa"/>
          </w:tcPr>
          <w:p w:rsidR="00596EC1" w:rsidRPr="00023BA2" w:rsidRDefault="00596EC1" w:rsidP="005507CF">
            <w:pPr>
              <w:jc w:val="center"/>
              <w:rPr>
                <w:lang w:val="et-EE"/>
              </w:rPr>
            </w:pPr>
            <w:r w:rsidRPr="00023BA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1D743D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047B22" w:rsidRPr="00023BA2" w:rsidRDefault="007F2F52" w:rsidP="00387AD3">
            <w:pPr>
              <w:jc w:val="both"/>
              <w:rPr>
                <w:lang w:val="et-EE"/>
              </w:rPr>
            </w:pPr>
            <w:r w:rsidRPr="00023BA2">
              <w:rPr>
                <w:lang w:val="et-EE"/>
              </w:rPr>
              <w:t>T</w:t>
            </w:r>
            <w:r w:rsidR="001C0A38" w:rsidRPr="00023BA2">
              <w:rPr>
                <w:lang w:val="et-EE"/>
              </w:rPr>
              <w:t>öö- ja otsustusprotsessid</w:t>
            </w:r>
            <w:r w:rsidR="000A2109" w:rsidRPr="00023BA2">
              <w:rPr>
                <w:lang w:val="et-EE"/>
              </w:rPr>
              <w:t>,</w:t>
            </w:r>
            <w:r w:rsidR="001C0A38" w:rsidRPr="00023BA2">
              <w:rPr>
                <w:lang w:val="et-EE"/>
              </w:rPr>
              <w:t xml:space="preserve"> sh seire- ja hindamiskord</w:t>
            </w:r>
            <w:r w:rsidR="00AE7568" w:rsidRPr="00023BA2">
              <w:rPr>
                <w:lang w:val="et-EE"/>
              </w:rPr>
              <w:t>,</w:t>
            </w:r>
            <w:r w:rsidR="001C0A38" w:rsidRPr="00023BA2">
              <w:rPr>
                <w:lang w:val="et-EE"/>
              </w:rPr>
              <w:t xml:space="preserve"> </w:t>
            </w:r>
            <w:r w:rsidR="00596EC1" w:rsidRPr="00023BA2">
              <w:rPr>
                <w:lang w:val="et-EE"/>
              </w:rPr>
              <w:t>on kirjeldatud</w:t>
            </w:r>
            <w:r w:rsidR="002078DB" w:rsidRPr="00023BA2">
              <w:rPr>
                <w:lang w:val="et-EE"/>
              </w:rPr>
              <w:t>, kuid need ei ole</w:t>
            </w:r>
            <w:r w:rsidR="00596EC1" w:rsidRPr="00023BA2">
              <w:rPr>
                <w:lang w:val="et-EE"/>
              </w:rPr>
              <w:t xml:space="preserve"> </w:t>
            </w:r>
            <w:r w:rsidR="002078DB" w:rsidRPr="00023BA2">
              <w:rPr>
                <w:lang w:val="et-EE"/>
              </w:rPr>
              <w:t xml:space="preserve">selged ja </w:t>
            </w:r>
            <w:r w:rsidR="00596EC1" w:rsidRPr="00023BA2">
              <w:rPr>
                <w:lang w:val="et-EE"/>
              </w:rPr>
              <w:t>läbipaistva</w:t>
            </w:r>
            <w:r w:rsidR="002078DB" w:rsidRPr="00023BA2">
              <w:rPr>
                <w:lang w:val="et-EE"/>
              </w:rPr>
              <w:t>d</w:t>
            </w:r>
            <w:r w:rsidR="00596EC1" w:rsidRPr="00023BA2">
              <w:rPr>
                <w:lang w:val="et-EE"/>
              </w:rPr>
              <w:t>.</w:t>
            </w:r>
            <w:r w:rsidR="00FE213A" w:rsidRPr="00023BA2">
              <w:rPr>
                <w:lang w:val="et-EE"/>
              </w:rPr>
              <w:t xml:space="preserve"> Strateegia uuendamise kord on üldine.</w:t>
            </w:r>
          </w:p>
        </w:tc>
        <w:tc>
          <w:tcPr>
            <w:tcW w:w="1276" w:type="dxa"/>
          </w:tcPr>
          <w:p w:rsidR="00596EC1" w:rsidRPr="00023BA2" w:rsidRDefault="00596EC1" w:rsidP="005507CF">
            <w:pPr>
              <w:jc w:val="center"/>
              <w:rPr>
                <w:lang w:val="et-EE"/>
              </w:rPr>
            </w:pPr>
            <w:r w:rsidRPr="00023BA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1D743D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52805" w:rsidRPr="00023BA2" w:rsidRDefault="007F2F52">
            <w:pPr>
              <w:jc w:val="both"/>
              <w:rPr>
                <w:lang w:val="et-EE"/>
              </w:rPr>
            </w:pPr>
            <w:r w:rsidRPr="00023BA2">
              <w:rPr>
                <w:lang w:val="et-EE"/>
              </w:rPr>
              <w:t>T</w:t>
            </w:r>
            <w:r w:rsidR="001C0A38" w:rsidRPr="00023BA2">
              <w:rPr>
                <w:lang w:val="et-EE"/>
              </w:rPr>
              <w:t>öö- ja otsustusprotsessid</w:t>
            </w:r>
            <w:r w:rsidR="000A2109" w:rsidRPr="00023BA2">
              <w:rPr>
                <w:lang w:val="et-EE"/>
              </w:rPr>
              <w:t>,</w:t>
            </w:r>
            <w:r w:rsidR="001C0A38" w:rsidRPr="00023BA2">
              <w:rPr>
                <w:lang w:val="et-EE"/>
              </w:rPr>
              <w:t xml:space="preserve"> sh seire- ja hindamiskord</w:t>
            </w:r>
            <w:r w:rsidR="00AE7568" w:rsidRPr="00023BA2">
              <w:rPr>
                <w:lang w:val="et-EE"/>
              </w:rPr>
              <w:t>,</w:t>
            </w:r>
            <w:r w:rsidR="001C0A38" w:rsidRPr="00023BA2">
              <w:rPr>
                <w:lang w:val="et-EE"/>
              </w:rPr>
              <w:t xml:space="preserve"> </w:t>
            </w:r>
            <w:r w:rsidR="00596EC1" w:rsidRPr="00023BA2">
              <w:rPr>
                <w:lang w:val="et-EE"/>
              </w:rPr>
              <w:t xml:space="preserve">on kirjeldatud </w:t>
            </w:r>
            <w:r w:rsidR="00FF420B" w:rsidRPr="00023BA2">
              <w:rPr>
                <w:lang w:val="et-EE"/>
              </w:rPr>
              <w:t xml:space="preserve">olulises osas </w:t>
            </w:r>
            <w:r w:rsidR="00596EC1" w:rsidRPr="00023BA2">
              <w:rPr>
                <w:lang w:val="et-EE"/>
              </w:rPr>
              <w:t xml:space="preserve">selgelt ja </w:t>
            </w:r>
            <w:r w:rsidR="00FF420B" w:rsidRPr="00023BA2">
              <w:rPr>
                <w:lang w:val="et-EE"/>
              </w:rPr>
              <w:t>arusaadavalt</w:t>
            </w:r>
            <w:r w:rsidR="00596EC1" w:rsidRPr="00023BA2">
              <w:rPr>
                <w:lang w:val="et-EE"/>
              </w:rPr>
              <w:t xml:space="preserve">, kuid </w:t>
            </w:r>
            <w:r w:rsidR="00FF420B" w:rsidRPr="00023BA2">
              <w:rPr>
                <w:lang w:val="et-EE"/>
              </w:rPr>
              <w:t xml:space="preserve">üksikutes </w:t>
            </w:r>
            <w:r w:rsidR="00BB637F" w:rsidRPr="00023BA2">
              <w:rPr>
                <w:lang w:val="et-EE"/>
              </w:rPr>
              <w:t xml:space="preserve">osades </w:t>
            </w:r>
            <w:r w:rsidR="00596EC1" w:rsidRPr="00023BA2">
              <w:rPr>
                <w:lang w:val="et-EE"/>
              </w:rPr>
              <w:t>esineb puudusi.</w:t>
            </w:r>
            <w:r w:rsidR="002078DB" w:rsidRPr="00023BA2">
              <w:rPr>
                <w:lang w:val="et-EE"/>
              </w:rPr>
              <w:t xml:space="preserve"> </w:t>
            </w:r>
            <w:r w:rsidR="00FF420B" w:rsidRPr="00023BA2">
              <w:rPr>
                <w:lang w:val="et-EE"/>
              </w:rPr>
              <w:t>Strateegia uuendamise kord on kirjeldatud selgelt ja arusaadavalt.</w:t>
            </w:r>
          </w:p>
        </w:tc>
        <w:tc>
          <w:tcPr>
            <w:tcW w:w="1276" w:type="dxa"/>
          </w:tcPr>
          <w:p w:rsidR="00596EC1" w:rsidRPr="00023BA2" w:rsidRDefault="00596EC1" w:rsidP="005507CF">
            <w:pPr>
              <w:jc w:val="center"/>
              <w:rPr>
                <w:lang w:val="et-EE"/>
              </w:rPr>
            </w:pPr>
            <w:r w:rsidRPr="00023BA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047B22" w:rsidTr="007F2F52">
        <w:trPr>
          <w:cantSplit/>
          <w:trHeight w:val="860"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  <w:vAlign w:val="center"/>
          </w:tcPr>
          <w:p w:rsidR="00352805" w:rsidRPr="00023BA2" w:rsidRDefault="007F2F52" w:rsidP="00055AFF">
            <w:pPr>
              <w:jc w:val="both"/>
              <w:rPr>
                <w:lang w:val="et-EE"/>
              </w:rPr>
            </w:pPr>
            <w:r w:rsidRPr="00023BA2">
              <w:rPr>
                <w:lang w:val="et-EE"/>
              </w:rPr>
              <w:t>T</w:t>
            </w:r>
            <w:r w:rsidR="001C0A38" w:rsidRPr="00023BA2">
              <w:rPr>
                <w:lang w:val="et-EE"/>
              </w:rPr>
              <w:t xml:space="preserve">öö- ja otsustusprotsessid </w:t>
            </w:r>
            <w:r w:rsidR="00596EC1" w:rsidRPr="00023BA2">
              <w:rPr>
                <w:lang w:val="et-EE"/>
              </w:rPr>
              <w:t>on kirjeldatud selgelt ja</w:t>
            </w:r>
            <w:r w:rsidR="00047B22" w:rsidRPr="00023BA2">
              <w:rPr>
                <w:lang w:val="et-EE"/>
              </w:rPr>
              <w:t xml:space="preserve"> arusaadavalt ning </w:t>
            </w:r>
            <w:r w:rsidR="00FF420B" w:rsidRPr="00023BA2">
              <w:rPr>
                <w:lang w:val="et-EE"/>
              </w:rPr>
              <w:t xml:space="preserve">otsustusprotsessid </w:t>
            </w:r>
            <w:r w:rsidR="00047B22" w:rsidRPr="00023BA2">
              <w:rPr>
                <w:lang w:val="et-EE"/>
              </w:rPr>
              <w:t>on</w:t>
            </w:r>
            <w:r w:rsidR="00596EC1" w:rsidRPr="00023BA2">
              <w:rPr>
                <w:lang w:val="et-EE"/>
              </w:rPr>
              <w:t xml:space="preserve"> läbipaistva</w:t>
            </w:r>
            <w:r w:rsidR="00047B22" w:rsidRPr="00023BA2">
              <w:rPr>
                <w:lang w:val="et-EE"/>
              </w:rPr>
              <w:t>d</w:t>
            </w:r>
            <w:r w:rsidR="00596EC1" w:rsidRPr="00023BA2">
              <w:rPr>
                <w:lang w:val="et-EE"/>
              </w:rPr>
              <w:t>.</w:t>
            </w:r>
            <w:r w:rsidR="00047B22" w:rsidRPr="00023BA2">
              <w:rPr>
                <w:lang w:val="et-EE"/>
              </w:rPr>
              <w:t xml:space="preserve"> </w:t>
            </w:r>
            <w:r w:rsidR="001C0A38" w:rsidRPr="00023BA2">
              <w:rPr>
                <w:lang w:val="et-EE"/>
              </w:rPr>
              <w:t>Seire</w:t>
            </w:r>
            <w:r w:rsidR="002078DB" w:rsidRPr="00023BA2">
              <w:rPr>
                <w:lang w:val="et-EE"/>
              </w:rPr>
              <w:t>-</w:t>
            </w:r>
            <w:r w:rsidR="001C0A38" w:rsidRPr="00023BA2">
              <w:rPr>
                <w:lang w:val="et-EE"/>
              </w:rPr>
              <w:t xml:space="preserve"> ja hindamiskord on konkreetselt kirjeldatud ning sisaldab sisehindamis</w:t>
            </w:r>
            <w:r w:rsidR="002078DB" w:rsidRPr="00023BA2">
              <w:rPr>
                <w:lang w:val="et-EE"/>
              </w:rPr>
              <w:t>e kirjeldust</w:t>
            </w:r>
            <w:r w:rsidR="001C0A38" w:rsidRPr="00023BA2">
              <w:rPr>
                <w:lang w:val="et-EE"/>
              </w:rPr>
              <w:t xml:space="preserve"> koos strateegia uuendamise korraga.</w:t>
            </w:r>
          </w:p>
        </w:tc>
        <w:tc>
          <w:tcPr>
            <w:tcW w:w="1276" w:type="dxa"/>
          </w:tcPr>
          <w:p w:rsidR="00596EC1" w:rsidRPr="00023BA2" w:rsidRDefault="00596EC1" w:rsidP="005507CF">
            <w:pPr>
              <w:jc w:val="center"/>
              <w:rPr>
                <w:lang w:val="et-EE"/>
              </w:rPr>
            </w:pPr>
            <w:r w:rsidRPr="00023BA2">
              <w:rPr>
                <w:lang w:val="et-EE"/>
              </w:rPr>
              <w:t>4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7E4447" w:rsidTr="008A7268">
        <w:trPr>
          <w:cantSplit/>
          <w:trHeight w:val="321"/>
        </w:trPr>
        <w:tc>
          <w:tcPr>
            <w:tcW w:w="606" w:type="dxa"/>
            <w:vMerge w:val="restart"/>
          </w:tcPr>
          <w:p w:rsidR="00596EC1" w:rsidRPr="00CE0DBE" w:rsidRDefault="007F2F52" w:rsidP="00CE0DBE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CE0DBE">
              <w:rPr>
                <w:b/>
                <w:sz w:val="20"/>
                <w:szCs w:val="20"/>
                <w:lang w:val="et-EE"/>
              </w:rPr>
              <w:lastRenderedPageBreak/>
              <w:t>14</w:t>
            </w:r>
            <w:r w:rsidR="00596EC1" w:rsidRPr="00CE0DBE">
              <w:rPr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2835" w:type="dxa"/>
            <w:vMerge w:val="restart"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  <w:r w:rsidRPr="00C53BAB">
              <w:rPr>
                <w:lang w:val="et-EE"/>
              </w:rPr>
              <w:t xml:space="preserve">Kohaliku tegevusgrupi suutlikkus </w:t>
            </w:r>
            <w:r w:rsidR="002540FC">
              <w:rPr>
                <w:lang w:val="et-EE"/>
              </w:rPr>
              <w:t>tegevus</w:t>
            </w:r>
            <w:r w:rsidRPr="00C53BAB">
              <w:rPr>
                <w:lang w:val="et-EE"/>
              </w:rPr>
              <w:t>piirkonna elavdamiseks</w:t>
            </w:r>
          </w:p>
        </w:tc>
        <w:tc>
          <w:tcPr>
            <w:tcW w:w="8079" w:type="dxa"/>
          </w:tcPr>
          <w:p w:rsidR="00352805" w:rsidRPr="00023BA2" w:rsidRDefault="003B3C63">
            <w:pPr>
              <w:jc w:val="both"/>
              <w:rPr>
                <w:sz w:val="20"/>
                <w:szCs w:val="20"/>
                <w:lang w:val="et-EE"/>
              </w:rPr>
            </w:pPr>
            <w:r w:rsidRPr="00023BA2">
              <w:rPr>
                <w:lang w:val="et-EE"/>
              </w:rPr>
              <w:t xml:space="preserve">Strateegias toodud analüüs </w:t>
            </w:r>
            <w:r w:rsidR="002540FC" w:rsidRPr="00023BA2">
              <w:rPr>
                <w:lang w:val="et-EE"/>
              </w:rPr>
              <w:t>tegevus</w:t>
            </w:r>
            <w:r w:rsidRPr="00023BA2">
              <w:rPr>
                <w:lang w:val="et-EE"/>
              </w:rPr>
              <w:t>piirkonna erinevate valdkondade olukorra ja arenguvajaduste</w:t>
            </w:r>
            <w:r w:rsidR="00AE7568" w:rsidRPr="00023BA2">
              <w:rPr>
                <w:lang w:val="et-EE"/>
              </w:rPr>
              <w:t xml:space="preserve"> kohta</w:t>
            </w:r>
            <w:r w:rsidRPr="00023BA2">
              <w:rPr>
                <w:lang w:val="et-EE"/>
              </w:rPr>
              <w:t xml:space="preserve"> on nõrk. </w:t>
            </w:r>
            <w:r w:rsidR="002540FC" w:rsidRPr="00023BA2">
              <w:rPr>
                <w:lang w:val="et-EE"/>
              </w:rPr>
              <w:t>Tegevusp</w:t>
            </w:r>
            <w:r w:rsidR="007E4447" w:rsidRPr="00023BA2">
              <w:rPr>
                <w:lang w:val="et-EE"/>
              </w:rPr>
              <w:t>iirkonna elavdamiseks kavandatud tegevusi ei ole</w:t>
            </w:r>
            <w:r w:rsidRPr="00023BA2">
              <w:rPr>
                <w:lang w:val="et-EE"/>
              </w:rPr>
              <w:t xml:space="preserve"> kirjeldatud</w:t>
            </w:r>
            <w:r w:rsidR="007E4447" w:rsidRPr="00023BA2">
              <w:rPr>
                <w:lang w:val="et-EE"/>
              </w:rPr>
              <w:t xml:space="preserve"> või on </w:t>
            </w:r>
            <w:r w:rsidR="00352805" w:rsidRPr="00023BA2">
              <w:rPr>
                <w:lang w:val="et-EE"/>
              </w:rPr>
              <w:t xml:space="preserve">see </w:t>
            </w:r>
            <w:r w:rsidR="00AE7568" w:rsidRPr="00023BA2">
              <w:rPr>
                <w:lang w:val="et-EE"/>
              </w:rPr>
              <w:t xml:space="preserve">kirjeldus </w:t>
            </w:r>
            <w:r w:rsidR="007E4447" w:rsidRPr="00023BA2">
              <w:rPr>
                <w:lang w:val="et-EE"/>
              </w:rPr>
              <w:t>üldine</w:t>
            </w:r>
            <w:r w:rsidRPr="00023BA2">
              <w:rPr>
                <w:lang w:val="et-EE"/>
              </w:rPr>
              <w:t xml:space="preserve">. </w:t>
            </w:r>
            <w:r w:rsidR="007E4447" w:rsidRPr="00023BA2">
              <w:rPr>
                <w:lang w:val="et-EE"/>
              </w:rPr>
              <w:t>V</w:t>
            </w:r>
            <w:r w:rsidRPr="00023BA2">
              <w:rPr>
                <w:lang w:val="et-EE"/>
              </w:rPr>
              <w:t>õimalik</w:t>
            </w:r>
            <w:r w:rsidR="007E4447" w:rsidRPr="00023BA2">
              <w:rPr>
                <w:lang w:val="et-EE"/>
              </w:rPr>
              <w:t>ele</w:t>
            </w:r>
            <w:r w:rsidRPr="00023BA2">
              <w:rPr>
                <w:lang w:val="et-EE"/>
              </w:rPr>
              <w:t xml:space="preserve"> riskid</w:t>
            </w:r>
            <w:r w:rsidR="007E4447" w:rsidRPr="00023BA2">
              <w:rPr>
                <w:lang w:val="et-EE"/>
              </w:rPr>
              <w:t xml:space="preserve">ele ei ole </w:t>
            </w:r>
            <w:r w:rsidR="00AE7568" w:rsidRPr="00023BA2">
              <w:rPr>
                <w:lang w:val="et-EE"/>
              </w:rPr>
              <w:t xml:space="preserve">tähelepanu </w:t>
            </w:r>
            <w:r w:rsidR="007E4447" w:rsidRPr="00023BA2">
              <w:rPr>
                <w:lang w:val="et-EE"/>
              </w:rPr>
              <w:t>pööratud</w:t>
            </w:r>
            <w:r w:rsidRPr="00023BA2">
              <w:rPr>
                <w:lang w:val="et-EE"/>
              </w:rPr>
              <w:t xml:space="preserve">. </w:t>
            </w:r>
          </w:p>
        </w:tc>
        <w:tc>
          <w:tcPr>
            <w:tcW w:w="1276" w:type="dxa"/>
          </w:tcPr>
          <w:p w:rsidR="00596EC1" w:rsidRPr="00023BA2" w:rsidRDefault="00596EC1" w:rsidP="005507CF">
            <w:pPr>
              <w:jc w:val="center"/>
              <w:rPr>
                <w:lang w:val="et-EE"/>
              </w:rPr>
            </w:pPr>
            <w:r w:rsidRPr="00023BA2">
              <w:rPr>
                <w:lang w:val="et-EE"/>
              </w:rPr>
              <w:t>1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A52F7B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A52F7B" w:rsidRPr="007F2F52" w:rsidRDefault="003B3C63" w:rsidP="006E7CDC">
            <w:pPr>
              <w:jc w:val="both"/>
              <w:rPr>
                <w:lang w:val="et-EE"/>
              </w:rPr>
            </w:pPr>
            <w:r w:rsidRPr="005507CF">
              <w:rPr>
                <w:lang w:val="et-EE"/>
              </w:rPr>
              <w:t xml:space="preserve">Strateegias välja toodud, analüüsitud ja </w:t>
            </w:r>
            <w:r w:rsidR="007E4447">
              <w:rPr>
                <w:lang w:val="et-EE"/>
              </w:rPr>
              <w:t xml:space="preserve">põhjendatud </w:t>
            </w:r>
            <w:r w:rsidRPr="005507CF">
              <w:rPr>
                <w:lang w:val="et-EE"/>
              </w:rPr>
              <w:t xml:space="preserve">nägemus </w:t>
            </w:r>
            <w:r w:rsidR="002540FC">
              <w:rPr>
                <w:lang w:val="et-EE"/>
              </w:rPr>
              <w:t>tegevus</w:t>
            </w:r>
            <w:r w:rsidRPr="005507CF">
              <w:rPr>
                <w:lang w:val="et-EE"/>
              </w:rPr>
              <w:t>piirkonna erinevate valdkondade olukorrast ja arenguvajadustest</w:t>
            </w:r>
            <w:r w:rsidR="007E4447">
              <w:rPr>
                <w:lang w:val="et-EE"/>
              </w:rPr>
              <w:t xml:space="preserve"> on kirjeldatud </w:t>
            </w:r>
            <w:r w:rsidR="007E4447" w:rsidRPr="005116E1">
              <w:rPr>
                <w:lang w:val="et-EE"/>
              </w:rPr>
              <w:t>vähesel</w:t>
            </w:r>
            <w:r w:rsidR="007E4447">
              <w:rPr>
                <w:lang w:val="et-EE"/>
              </w:rPr>
              <w:t xml:space="preserve"> määral</w:t>
            </w:r>
            <w:r w:rsidR="00A52F7B">
              <w:rPr>
                <w:lang w:val="et-EE"/>
              </w:rPr>
              <w:t xml:space="preserve">. </w:t>
            </w:r>
            <w:r w:rsidR="002540FC">
              <w:rPr>
                <w:lang w:val="et-EE"/>
              </w:rPr>
              <w:t>Tegevusp</w:t>
            </w:r>
            <w:r w:rsidR="007E4447">
              <w:rPr>
                <w:lang w:val="et-EE"/>
              </w:rPr>
              <w:t>iirkonna elavdamise</w:t>
            </w:r>
            <w:r w:rsidR="00A52F7B">
              <w:rPr>
                <w:lang w:val="et-EE"/>
              </w:rPr>
              <w:t xml:space="preserve">ks kavandatud </w:t>
            </w:r>
            <w:r w:rsidR="007E4447">
              <w:rPr>
                <w:lang w:val="et-EE"/>
              </w:rPr>
              <w:t xml:space="preserve">tegevused on kirjeldatud </w:t>
            </w:r>
            <w:r w:rsidR="007E4447" w:rsidRPr="005116E1">
              <w:rPr>
                <w:lang w:val="et-EE"/>
              </w:rPr>
              <w:t>vähesel</w:t>
            </w:r>
            <w:r w:rsidR="007E4447">
              <w:rPr>
                <w:lang w:val="et-EE"/>
              </w:rPr>
              <w:t xml:space="preserve"> määral.</w:t>
            </w:r>
            <w:r w:rsidRPr="005507CF">
              <w:rPr>
                <w:lang w:val="et-EE"/>
              </w:rPr>
              <w:t xml:space="preserve"> </w:t>
            </w:r>
            <w:r w:rsidR="00A52F7B">
              <w:rPr>
                <w:lang w:val="et-EE"/>
              </w:rPr>
              <w:t>Välja on toodud</w:t>
            </w:r>
            <w:r w:rsidRPr="005507CF">
              <w:rPr>
                <w:lang w:val="et-EE"/>
              </w:rPr>
              <w:t xml:space="preserve"> võimalikud </w:t>
            </w:r>
            <w:r w:rsidR="007E4447" w:rsidRPr="005507CF">
              <w:rPr>
                <w:lang w:val="et-EE"/>
              </w:rPr>
              <w:t>risk</w:t>
            </w:r>
            <w:r w:rsidR="00A52F7B">
              <w:rPr>
                <w:lang w:val="et-EE"/>
              </w:rPr>
              <w:t>i</w:t>
            </w:r>
            <w:r w:rsidR="007E4447" w:rsidRPr="005507CF">
              <w:rPr>
                <w:lang w:val="et-EE"/>
              </w:rPr>
              <w:t xml:space="preserve">d, kuid ei ole </w:t>
            </w:r>
            <w:r w:rsidRPr="005507CF">
              <w:rPr>
                <w:lang w:val="et-EE"/>
              </w:rPr>
              <w:t xml:space="preserve">kavandatud nende maandamine. 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2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1D743D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A52F7B" w:rsidRPr="007F2F52" w:rsidRDefault="00A52F7B" w:rsidP="006E7CDC">
            <w:pPr>
              <w:jc w:val="both"/>
              <w:rPr>
                <w:lang w:val="et-EE"/>
              </w:rPr>
            </w:pPr>
            <w:r w:rsidRPr="00160CE3">
              <w:rPr>
                <w:lang w:val="et-EE"/>
              </w:rPr>
              <w:t xml:space="preserve">Strateegias välja toodud, analüüsitud ja </w:t>
            </w:r>
            <w:r>
              <w:rPr>
                <w:lang w:val="et-EE"/>
              </w:rPr>
              <w:t xml:space="preserve">põhjendatud </w:t>
            </w:r>
            <w:r w:rsidRPr="00160CE3">
              <w:rPr>
                <w:lang w:val="et-EE"/>
              </w:rPr>
              <w:t xml:space="preserve">nägemus </w:t>
            </w:r>
            <w:r w:rsidR="002540FC">
              <w:rPr>
                <w:lang w:val="et-EE"/>
              </w:rPr>
              <w:t>tegevus</w:t>
            </w:r>
            <w:r w:rsidRPr="00160CE3">
              <w:rPr>
                <w:lang w:val="et-EE"/>
              </w:rPr>
              <w:t>piirkonna erinevate valdkondade olukorrast ja arenguvajadustest</w:t>
            </w:r>
            <w:r w:rsidR="00303C4B">
              <w:rPr>
                <w:lang w:val="et-EE"/>
              </w:rPr>
              <w:t xml:space="preserve"> on kirjeldatud </w:t>
            </w:r>
            <w:r w:rsidR="00303C4B" w:rsidRPr="005116E1">
              <w:rPr>
                <w:lang w:val="et-EE"/>
              </w:rPr>
              <w:t>olulisel</w:t>
            </w:r>
            <w:r w:rsidR="00303C4B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määral. </w:t>
            </w:r>
            <w:r w:rsidR="002540FC">
              <w:rPr>
                <w:lang w:val="et-EE"/>
              </w:rPr>
              <w:t>Tegevusp</w:t>
            </w:r>
            <w:r>
              <w:rPr>
                <w:lang w:val="et-EE"/>
              </w:rPr>
              <w:t xml:space="preserve">iirkonna elavdamiseks kavandatud tegevused on kirjeldatud </w:t>
            </w:r>
            <w:r w:rsidRPr="005116E1">
              <w:rPr>
                <w:lang w:val="et-EE"/>
              </w:rPr>
              <w:t>olulisel</w:t>
            </w:r>
            <w:r>
              <w:rPr>
                <w:lang w:val="et-EE"/>
              </w:rPr>
              <w:t xml:space="preserve"> määral.</w:t>
            </w:r>
            <w:r w:rsidRPr="00160CE3">
              <w:rPr>
                <w:lang w:val="et-EE"/>
              </w:rPr>
              <w:t xml:space="preserve"> </w:t>
            </w:r>
            <w:r>
              <w:rPr>
                <w:lang w:val="et-EE"/>
              </w:rPr>
              <w:t>Välja on toodud</w:t>
            </w:r>
            <w:r w:rsidRPr="00160CE3">
              <w:rPr>
                <w:lang w:val="et-EE"/>
              </w:rPr>
              <w:t xml:space="preserve"> võimalikud risk</w:t>
            </w:r>
            <w:r>
              <w:rPr>
                <w:lang w:val="et-EE"/>
              </w:rPr>
              <w:t>i</w:t>
            </w:r>
            <w:r w:rsidRPr="00160CE3">
              <w:rPr>
                <w:lang w:val="et-EE"/>
              </w:rPr>
              <w:t xml:space="preserve">d </w:t>
            </w:r>
            <w:r>
              <w:rPr>
                <w:lang w:val="et-EE"/>
              </w:rPr>
              <w:t>ning on</w:t>
            </w:r>
            <w:r w:rsidRPr="00160CE3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osaliselt </w:t>
            </w:r>
            <w:r w:rsidRPr="00160CE3">
              <w:rPr>
                <w:lang w:val="et-EE"/>
              </w:rPr>
              <w:t xml:space="preserve">kavandatud nende maandamine. 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7F2F52">
              <w:rPr>
                <w:lang w:val="et-EE"/>
              </w:rPr>
              <w:t>3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1D743D" w:rsidRPr="001D743D" w:rsidTr="008A7268">
        <w:trPr>
          <w:cantSplit/>
        </w:trPr>
        <w:tc>
          <w:tcPr>
            <w:tcW w:w="606" w:type="dxa"/>
            <w:vMerge/>
          </w:tcPr>
          <w:p w:rsidR="00596EC1" w:rsidRPr="00023BA2" w:rsidRDefault="00596EC1" w:rsidP="00023BA2">
            <w:pPr>
              <w:jc w:val="center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2835" w:type="dxa"/>
            <w:vMerge/>
          </w:tcPr>
          <w:p w:rsidR="00596EC1" w:rsidRPr="00C53BAB" w:rsidRDefault="00596EC1" w:rsidP="00387AD3">
            <w:pPr>
              <w:jc w:val="both"/>
              <w:rPr>
                <w:sz w:val="20"/>
                <w:szCs w:val="20"/>
                <w:lang w:val="et-EE"/>
              </w:rPr>
            </w:pPr>
          </w:p>
        </w:tc>
        <w:tc>
          <w:tcPr>
            <w:tcW w:w="8079" w:type="dxa"/>
          </w:tcPr>
          <w:p w:rsidR="00352805" w:rsidRPr="005507CF" w:rsidRDefault="001D01E2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2D29">
              <w:rPr>
                <w:rFonts w:ascii="Times New Roman" w:hAnsi="Times New Roman" w:cs="Times New Roman"/>
                <w:sz w:val="24"/>
                <w:szCs w:val="24"/>
              </w:rPr>
              <w:t>trateegias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välja</w:t>
            </w:r>
            <w:r w:rsidRPr="009A2D29">
              <w:rPr>
                <w:rFonts w:ascii="Times New Roman" w:hAnsi="Times New Roman" w:cs="Times New Roman"/>
                <w:sz w:val="24"/>
                <w:szCs w:val="24"/>
              </w:rPr>
              <w:t xml:space="preserve"> toodud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D29">
              <w:rPr>
                <w:rFonts w:ascii="Times New Roman" w:hAnsi="Times New Roman" w:cs="Times New Roman"/>
                <w:sz w:val="24"/>
                <w:szCs w:val="24"/>
              </w:rPr>
              <w:t xml:space="preserve">analüüsitud ja põhjendatud nägemus </w:t>
            </w:r>
            <w:r w:rsidR="002540FC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  <w:r w:rsidRPr="009A2D29">
              <w:rPr>
                <w:rFonts w:ascii="Times New Roman" w:hAnsi="Times New Roman" w:cs="Times New Roman"/>
                <w:sz w:val="24"/>
                <w:szCs w:val="24"/>
              </w:rPr>
              <w:t>piirkonna erinevate valdkondade olukorrast</w:t>
            </w:r>
            <w:r w:rsidR="003B3C63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9A2D29">
              <w:rPr>
                <w:rFonts w:ascii="Times New Roman" w:hAnsi="Times New Roman" w:cs="Times New Roman"/>
                <w:sz w:val="24"/>
                <w:szCs w:val="24"/>
              </w:rPr>
              <w:t xml:space="preserve"> arenguvajadustest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Strateegias on kirjeldatud </w:t>
            </w:r>
            <w:r w:rsidR="0033710D">
              <w:rPr>
                <w:rFonts w:ascii="Times New Roman" w:hAnsi="Times New Roman" w:cs="Times New Roman"/>
                <w:sz w:val="24"/>
                <w:szCs w:val="24"/>
              </w:rPr>
              <w:t xml:space="preserve">tegevuspiirkonna elavdamiseks kavandatud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tegevusi, </w:t>
            </w:r>
            <w:r w:rsidR="0033710D"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meetmete rakendamisest tulenev mõju. Kaardistatud on võimalikud riskid ning kavandatud </w:t>
            </w:r>
            <w:r w:rsidR="0033710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nende maandamine. </w:t>
            </w:r>
          </w:p>
        </w:tc>
        <w:tc>
          <w:tcPr>
            <w:tcW w:w="1276" w:type="dxa"/>
          </w:tcPr>
          <w:p w:rsidR="00596EC1" w:rsidRPr="007F2F52" w:rsidRDefault="00596EC1" w:rsidP="005507CF">
            <w:pPr>
              <w:jc w:val="center"/>
              <w:rPr>
                <w:lang w:val="et-EE"/>
              </w:rPr>
            </w:pPr>
            <w:r w:rsidRPr="001603BD">
              <w:rPr>
                <w:sz w:val="20"/>
                <w:szCs w:val="20"/>
                <w:lang w:val="et-EE"/>
              </w:rPr>
              <w:t>4</w:t>
            </w:r>
          </w:p>
        </w:tc>
        <w:tc>
          <w:tcPr>
            <w:tcW w:w="1276" w:type="dxa"/>
          </w:tcPr>
          <w:p w:rsidR="00596EC1" w:rsidRPr="001D743D" w:rsidRDefault="00596EC1" w:rsidP="00387AD3">
            <w:pPr>
              <w:jc w:val="both"/>
              <w:rPr>
                <w:color w:val="FF0000"/>
                <w:sz w:val="20"/>
                <w:szCs w:val="20"/>
                <w:lang w:val="et-EE"/>
              </w:rPr>
            </w:pPr>
          </w:p>
        </w:tc>
      </w:tr>
      <w:tr w:rsidR="000E3D41" w:rsidRPr="00FD75BD" w:rsidTr="00126CD1">
        <w:tblPrEx>
          <w:tblLook w:val="0000"/>
        </w:tblPrEx>
        <w:tc>
          <w:tcPr>
            <w:tcW w:w="11520" w:type="dxa"/>
            <w:gridSpan w:val="3"/>
            <w:shd w:val="clear" w:color="auto" w:fill="E0E0E0"/>
          </w:tcPr>
          <w:p w:rsidR="000E3D41" w:rsidRPr="00F42169" w:rsidRDefault="006A6FAA" w:rsidP="00F42169">
            <w:pPr>
              <w:jc w:val="center"/>
              <w:rPr>
                <w:b/>
                <w:lang w:val="et-EE"/>
              </w:rPr>
            </w:pPr>
            <w:r w:rsidRPr="00A4175C">
              <w:rPr>
                <w:b/>
                <w:bCs/>
                <w:lang w:val="et-EE"/>
              </w:rPr>
              <w:t xml:space="preserve">HINDEPUNKTE </w:t>
            </w:r>
            <w:r w:rsidR="000E3D41" w:rsidRPr="00A4175C">
              <w:rPr>
                <w:b/>
                <w:bCs/>
                <w:lang w:val="et-EE"/>
              </w:rPr>
              <w:t>KOKKU:</w:t>
            </w:r>
          </w:p>
        </w:tc>
        <w:tc>
          <w:tcPr>
            <w:tcW w:w="2552" w:type="dxa"/>
            <w:gridSpan w:val="2"/>
            <w:shd w:val="clear" w:color="auto" w:fill="E0E0E0"/>
          </w:tcPr>
          <w:p w:rsidR="000E3D41" w:rsidRPr="00FD75BD" w:rsidRDefault="000E3D41" w:rsidP="00387AD3">
            <w:pPr>
              <w:jc w:val="both"/>
              <w:rPr>
                <w:lang w:val="et-EE"/>
              </w:rPr>
            </w:pPr>
          </w:p>
        </w:tc>
      </w:tr>
    </w:tbl>
    <w:p w:rsidR="00C578E2" w:rsidRPr="007775FD" w:rsidRDefault="00C578E2" w:rsidP="00387AD3">
      <w:pPr>
        <w:pStyle w:val="NormalWeb"/>
        <w:jc w:val="both"/>
        <w:rPr>
          <w:lang w:val="et-EE"/>
        </w:rPr>
      </w:pPr>
    </w:p>
    <w:sectPr w:rsidR="00C578E2" w:rsidRPr="007775FD" w:rsidSect="00F968D2">
      <w:footerReference w:type="default" r:id="rId8"/>
      <w:footnotePr>
        <w:numStart w:val="2"/>
      </w:footnotePr>
      <w:endnotePr>
        <w:numFmt w:val="decimal"/>
        <w:numRestart w:val="eachSect"/>
      </w:endnotePr>
      <w:type w:val="evenPage"/>
      <w:pgSz w:w="16838" w:h="11906" w:orient="landscape" w:code="9"/>
      <w:pgMar w:top="1797" w:right="1417" w:bottom="147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50" w:rsidRDefault="00027150">
      <w:r>
        <w:separator/>
      </w:r>
    </w:p>
  </w:endnote>
  <w:endnote w:type="continuationSeparator" w:id="0">
    <w:p w:rsidR="00027150" w:rsidRDefault="0002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63" w:rsidRDefault="00A53163">
    <w:pPr>
      <w:pStyle w:val="Footer"/>
      <w:pBdr>
        <w:top w:val="single" w:sz="6" w:space="1" w:color="auto"/>
      </w:pBdr>
      <w:tabs>
        <w:tab w:val="clear" w:pos="4153"/>
        <w:tab w:val="clear" w:pos="8306"/>
      </w:tabs>
      <w:jc w:val="right"/>
    </w:pPr>
    <w:proofErr w:type="spellStart"/>
    <w:r>
      <w:t>Reg</w:t>
    </w:r>
    <w:r w:rsidR="00956B00">
      <w:t>-</w:t>
    </w:r>
    <w:r>
      <w:t>nr</w:t>
    </w:r>
    <w:proofErr w:type="spellEnd"/>
    <w:r>
      <w:t xml:space="preserve"> 70000734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50" w:rsidRDefault="00027150">
      <w:r>
        <w:separator/>
      </w:r>
    </w:p>
  </w:footnote>
  <w:footnote w:type="continuationSeparator" w:id="0">
    <w:p w:rsidR="00027150" w:rsidRDefault="00027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ECD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21A9"/>
    <w:multiLevelType w:val="hybridMultilevel"/>
    <w:tmpl w:val="4DC2A02A"/>
    <w:lvl w:ilvl="0" w:tplc="757EE89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B4136F"/>
    <w:multiLevelType w:val="hybridMultilevel"/>
    <w:tmpl w:val="2DAC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D0A81"/>
    <w:multiLevelType w:val="hybridMultilevel"/>
    <w:tmpl w:val="59080AFE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530484"/>
    <w:rsid w:val="0000190C"/>
    <w:rsid w:val="00003BFB"/>
    <w:rsid w:val="00015226"/>
    <w:rsid w:val="00017168"/>
    <w:rsid w:val="00023BA2"/>
    <w:rsid w:val="00027150"/>
    <w:rsid w:val="00033ACC"/>
    <w:rsid w:val="00044402"/>
    <w:rsid w:val="00047B22"/>
    <w:rsid w:val="00055AFF"/>
    <w:rsid w:val="00067703"/>
    <w:rsid w:val="000727C0"/>
    <w:rsid w:val="00072957"/>
    <w:rsid w:val="00076CCF"/>
    <w:rsid w:val="00082D5B"/>
    <w:rsid w:val="000944A8"/>
    <w:rsid w:val="0009746E"/>
    <w:rsid w:val="000A2109"/>
    <w:rsid w:val="000A6ECB"/>
    <w:rsid w:val="000B1E11"/>
    <w:rsid w:val="000B758F"/>
    <w:rsid w:val="000B78A7"/>
    <w:rsid w:val="000C06FB"/>
    <w:rsid w:val="000C16E8"/>
    <w:rsid w:val="000C52B0"/>
    <w:rsid w:val="000C5776"/>
    <w:rsid w:val="000D2217"/>
    <w:rsid w:val="000D60E0"/>
    <w:rsid w:val="000E3D41"/>
    <w:rsid w:val="000F1434"/>
    <w:rsid w:val="000F3472"/>
    <w:rsid w:val="000F3482"/>
    <w:rsid w:val="000F5B16"/>
    <w:rsid w:val="0011567E"/>
    <w:rsid w:val="00126CD1"/>
    <w:rsid w:val="001270AE"/>
    <w:rsid w:val="00133174"/>
    <w:rsid w:val="00134800"/>
    <w:rsid w:val="001374F8"/>
    <w:rsid w:val="00144198"/>
    <w:rsid w:val="0014460E"/>
    <w:rsid w:val="00146D64"/>
    <w:rsid w:val="001505B3"/>
    <w:rsid w:val="00150975"/>
    <w:rsid w:val="001603BD"/>
    <w:rsid w:val="00160CC3"/>
    <w:rsid w:val="001654D2"/>
    <w:rsid w:val="0016780A"/>
    <w:rsid w:val="00173CDD"/>
    <w:rsid w:val="00173D46"/>
    <w:rsid w:val="00173DF4"/>
    <w:rsid w:val="00173F65"/>
    <w:rsid w:val="00184BC3"/>
    <w:rsid w:val="00192477"/>
    <w:rsid w:val="00197EA0"/>
    <w:rsid w:val="001B695B"/>
    <w:rsid w:val="001C00DC"/>
    <w:rsid w:val="001C0A38"/>
    <w:rsid w:val="001C17D0"/>
    <w:rsid w:val="001C35BC"/>
    <w:rsid w:val="001C6839"/>
    <w:rsid w:val="001C6ADC"/>
    <w:rsid w:val="001D01E2"/>
    <w:rsid w:val="001D3BA4"/>
    <w:rsid w:val="001D3F16"/>
    <w:rsid w:val="001D5689"/>
    <w:rsid w:val="001D69F1"/>
    <w:rsid w:val="001D743D"/>
    <w:rsid w:val="001F601D"/>
    <w:rsid w:val="00202F20"/>
    <w:rsid w:val="00207668"/>
    <w:rsid w:val="002078DB"/>
    <w:rsid w:val="00211937"/>
    <w:rsid w:val="002403A9"/>
    <w:rsid w:val="0024044E"/>
    <w:rsid w:val="002463F7"/>
    <w:rsid w:val="002540FC"/>
    <w:rsid w:val="002609FB"/>
    <w:rsid w:val="002624C6"/>
    <w:rsid w:val="00270EAF"/>
    <w:rsid w:val="00274A9D"/>
    <w:rsid w:val="002764F4"/>
    <w:rsid w:val="00276F8C"/>
    <w:rsid w:val="00286BA3"/>
    <w:rsid w:val="00290B76"/>
    <w:rsid w:val="00290E94"/>
    <w:rsid w:val="002911E4"/>
    <w:rsid w:val="00294B90"/>
    <w:rsid w:val="00296214"/>
    <w:rsid w:val="002A0525"/>
    <w:rsid w:val="002A0E28"/>
    <w:rsid w:val="002A7F5D"/>
    <w:rsid w:val="002B2EA4"/>
    <w:rsid w:val="002B3C92"/>
    <w:rsid w:val="002C3AA3"/>
    <w:rsid w:val="002C4ADA"/>
    <w:rsid w:val="002C56EC"/>
    <w:rsid w:val="002C57FC"/>
    <w:rsid w:val="002C661F"/>
    <w:rsid w:val="002C7820"/>
    <w:rsid w:val="002D018E"/>
    <w:rsid w:val="002D06FC"/>
    <w:rsid w:val="002D17DA"/>
    <w:rsid w:val="002D5875"/>
    <w:rsid w:val="002D7926"/>
    <w:rsid w:val="002E118C"/>
    <w:rsid w:val="002E2EEC"/>
    <w:rsid w:val="002E4BE2"/>
    <w:rsid w:val="002E625B"/>
    <w:rsid w:val="002F0B07"/>
    <w:rsid w:val="002F19D0"/>
    <w:rsid w:val="00300D79"/>
    <w:rsid w:val="00300EE8"/>
    <w:rsid w:val="00303C4B"/>
    <w:rsid w:val="0030575C"/>
    <w:rsid w:val="0031138F"/>
    <w:rsid w:val="00311631"/>
    <w:rsid w:val="003176F3"/>
    <w:rsid w:val="0032108F"/>
    <w:rsid w:val="00333BCF"/>
    <w:rsid w:val="00334D2B"/>
    <w:rsid w:val="0033710D"/>
    <w:rsid w:val="00352805"/>
    <w:rsid w:val="00353DAA"/>
    <w:rsid w:val="00363BED"/>
    <w:rsid w:val="00373CFA"/>
    <w:rsid w:val="0038333E"/>
    <w:rsid w:val="003875F8"/>
    <w:rsid w:val="00387AD3"/>
    <w:rsid w:val="003A3A47"/>
    <w:rsid w:val="003A3F9E"/>
    <w:rsid w:val="003A51C8"/>
    <w:rsid w:val="003B0AFA"/>
    <w:rsid w:val="003B3C63"/>
    <w:rsid w:val="003B620E"/>
    <w:rsid w:val="003B764B"/>
    <w:rsid w:val="003D332C"/>
    <w:rsid w:val="003D448D"/>
    <w:rsid w:val="003D4583"/>
    <w:rsid w:val="003D60F5"/>
    <w:rsid w:val="003E3115"/>
    <w:rsid w:val="003E4DDA"/>
    <w:rsid w:val="003F50EB"/>
    <w:rsid w:val="003F529C"/>
    <w:rsid w:val="003F6B1F"/>
    <w:rsid w:val="003F7124"/>
    <w:rsid w:val="00400D21"/>
    <w:rsid w:val="00400F07"/>
    <w:rsid w:val="00404C2C"/>
    <w:rsid w:val="004169FA"/>
    <w:rsid w:val="004172F0"/>
    <w:rsid w:val="004220A4"/>
    <w:rsid w:val="00422333"/>
    <w:rsid w:val="00423140"/>
    <w:rsid w:val="00432879"/>
    <w:rsid w:val="004337B3"/>
    <w:rsid w:val="004341EF"/>
    <w:rsid w:val="00434B4A"/>
    <w:rsid w:val="00442BE9"/>
    <w:rsid w:val="00442F0C"/>
    <w:rsid w:val="0049319E"/>
    <w:rsid w:val="004A06C9"/>
    <w:rsid w:val="004A208C"/>
    <w:rsid w:val="004A66CB"/>
    <w:rsid w:val="004A7CF7"/>
    <w:rsid w:val="004B53C8"/>
    <w:rsid w:val="004C7016"/>
    <w:rsid w:val="004D26ED"/>
    <w:rsid w:val="004E0AC4"/>
    <w:rsid w:val="004E69A5"/>
    <w:rsid w:val="004E7E78"/>
    <w:rsid w:val="004F505C"/>
    <w:rsid w:val="004F6DF5"/>
    <w:rsid w:val="005034B9"/>
    <w:rsid w:val="00503A46"/>
    <w:rsid w:val="0051116F"/>
    <w:rsid w:val="005116E1"/>
    <w:rsid w:val="005220E9"/>
    <w:rsid w:val="00522CFB"/>
    <w:rsid w:val="00523DB5"/>
    <w:rsid w:val="00524EFB"/>
    <w:rsid w:val="005272D5"/>
    <w:rsid w:val="00530484"/>
    <w:rsid w:val="00537272"/>
    <w:rsid w:val="00544719"/>
    <w:rsid w:val="005507CF"/>
    <w:rsid w:val="00551358"/>
    <w:rsid w:val="00563CC7"/>
    <w:rsid w:val="00567E9E"/>
    <w:rsid w:val="00572687"/>
    <w:rsid w:val="00572C3D"/>
    <w:rsid w:val="005824B3"/>
    <w:rsid w:val="00584DA0"/>
    <w:rsid w:val="00593659"/>
    <w:rsid w:val="00596EC1"/>
    <w:rsid w:val="005B0480"/>
    <w:rsid w:val="005B0743"/>
    <w:rsid w:val="005B2587"/>
    <w:rsid w:val="005B4427"/>
    <w:rsid w:val="005B452D"/>
    <w:rsid w:val="005B6E3F"/>
    <w:rsid w:val="005C0D18"/>
    <w:rsid w:val="005C19C2"/>
    <w:rsid w:val="005C1DCC"/>
    <w:rsid w:val="005C6A78"/>
    <w:rsid w:val="005D0FB7"/>
    <w:rsid w:val="005E5B71"/>
    <w:rsid w:val="006040D1"/>
    <w:rsid w:val="00604FBC"/>
    <w:rsid w:val="00605854"/>
    <w:rsid w:val="00607DBE"/>
    <w:rsid w:val="00624CC6"/>
    <w:rsid w:val="0063409C"/>
    <w:rsid w:val="00650ABE"/>
    <w:rsid w:val="00650AC1"/>
    <w:rsid w:val="00663CF3"/>
    <w:rsid w:val="006712B0"/>
    <w:rsid w:val="006812BF"/>
    <w:rsid w:val="006834F5"/>
    <w:rsid w:val="00684F35"/>
    <w:rsid w:val="00697772"/>
    <w:rsid w:val="006A559D"/>
    <w:rsid w:val="006A6FAA"/>
    <w:rsid w:val="006A7C39"/>
    <w:rsid w:val="006B3E9C"/>
    <w:rsid w:val="006C2151"/>
    <w:rsid w:val="006C561C"/>
    <w:rsid w:val="006C750A"/>
    <w:rsid w:val="006D1011"/>
    <w:rsid w:val="006E0C4D"/>
    <w:rsid w:val="006E1B09"/>
    <w:rsid w:val="006E7CDC"/>
    <w:rsid w:val="00701B88"/>
    <w:rsid w:val="00702B95"/>
    <w:rsid w:val="00704835"/>
    <w:rsid w:val="00705DBE"/>
    <w:rsid w:val="00711A14"/>
    <w:rsid w:val="00740B4E"/>
    <w:rsid w:val="00750B4B"/>
    <w:rsid w:val="007519FB"/>
    <w:rsid w:val="007552AB"/>
    <w:rsid w:val="007558A7"/>
    <w:rsid w:val="007775FD"/>
    <w:rsid w:val="00777643"/>
    <w:rsid w:val="00787617"/>
    <w:rsid w:val="007918BE"/>
    <w:rsid w:val="007A3385"/>
    <w:rsid w:val="007B3F12"/>
    <w:rsid w:val="007B75F4"/>
    <w:rsid w:val="007C584D"/>
    <w:rsid w:val="007C790B"/>
    <w:rsid w:val="007E191B"/>
    <w:rsid w:val="007E4447"/>
    <w:rsid w:val="007F2164"/>
    <w:rsid w:val="007F2584"/>
    <w:rsid w:val="007F2F52"/>
    <w:rsid w:val="007F6B0E"/>
    <w:rsid w:val="00806A60"/>
    <w:rsid w:val="00806C46"/>
    <w:rsid w:val="0081326A"/>
    <w:rsid w:val="008141A9"/>
    <w:rsid w:val="00814A56"/>
    <w:rsid w:val="00815B83"/>
    <w:rsid w:val="00820DA2"/>
    <w:rsid w:val="00822E22"/>
    <w:rsid w:val="008423E7"/>
    <w:rsid w:val="00842B62"/>
    <w:rsid w:val="00843142"/>
    <w:rsid w:val="00845303"/>
    <w:rsid w:val="00845ACE"/>
    <w:rsid w:val="00853F8C"/>
    <w:rsid w:val="00860E60"/>
    <w:rsid w:val="00864289"/>
    <w:rsid w:val="0087575A"/>
    <w:rsid w:val="00877114"/>
    <w:rsid w:val="00883FCD"/>
    <w:rsid w:val="008979C9"/>
    <w:rsid w:val="008A662D"/>
    <w:rsid w:val="008A7268"/>
    <w:rsid w:val="008B3F87"/>
    <w:rsid w:val="008D1FC7"/>
    <w:rsid w:val="008D7642"/>
    <w:rsid w:val="008E3A41"/>
    <w:rsid w:val="008E5AA9"/>
    <w:rsid w:val="008F1282"/>
    <w:rsid w:val="00903651"/>
    <w:rsid w:val="00905B05"/>
    <w:rsid w:val="00906066"/>
    <w:rsid w:val="00914435"/>
    <w:rsid w:val="0092118C"/>
    <w:rsid w:val="009213B7"/>
    <w:rsid w:val="00927D4D"/>
    <w:rsid w:val="00941541"/>
    <w:rsid w:val="0094290F"/>
    <w:rsid w:val="0094546E"/>
    <w:rsid w:val="00956B00"/>
    <w:rsid w:val="00957DEE"/>
    <w:rsid w:val="009617A3"/>
    <w:rsid w:val="00962AF9"/>
    <w:rsid w:val="00974022"/>
    <w:rsid w:val="009900F2"/>
    <w:rsid w:val="0099697C"/>
    <w:rsid w:val="009A7A6E"/>
    <w:rsid w:val="009C494D"/>
    <w:rsid w:val="009E67E5"/>
    <w:rsid w:val="009F366C"/>
    <w:rsid w:val="009F5E0A"/>
    <w:rsid w:val="009F7E87"/>
    <w:rsid w:val="00A02F84"/>
    <w:rsid w:val="00A16DD8"/>
    <w:rsid w:val="00A23D35"/>
    <w:rsid w:val="00A257ED"/>
    <w:rsid w:val="00A33594"/>
    <w:rsid w:val="00A34F1F"/>
    <w:rsid w:val="00A4175C"/>
    <w:rsid w:val="00A4416A"/>
    <w:rsid w:val="00A52F7B"/>
    <w:rsid w:val="00A53163"/>
    <w:rsid w:val="00A532E4"/>
    <w:rsid w:val="00A54E72"/>
    <w:rsid w:val="00A57D3D"/>
    <w:rsid w:val="00A601F6"/>
    <w:rsid w:val="00A65826"/>
    <w:rsid w:val="00A672D4"/>
    <w:rsid w:val="00A73F90"/>
    <w:rsid w:val="00A84A7D"/>
    <w:rsid w:val="00A91E22"/>
    <w:rsid w:val="00A966F7"/>
    <w:rsid w:val="00AA4E79"/>
    <w:rsid w:val="00AA7BA2"/>
    <w:rsid w:val="00AB1363"/>
    <w:rsid w:val="00AB1D37"/>
    <w:rsid w:val="00AB38D9"/>
    <w:rsid w:val="00AB4727"/>
    <w:rsid w:val="00AC1EC7"/>
    <w:rsid w:val="00AC4E77"/>
    <w:rsid w:val="00AD2E9F"/>
    <w:rsid w:val="00AD3F7E"/>
    <w:rsid w:val="00AE7568"/>
    <w:rsid w:val="00AF2D4D"/>
    <w:rsid w:val="00B01A14"/>
    <w:rsid w:val="00B05809"/>
    <w:rsid w:val="00B13330"/>
    <w:rsid w:val="00B15AFA"/>
    <w:rsid w:val="00B23B7D"/>
    <w:rsid w:val="00B37E80"/>
    <w:rsid w:val="00B4253F"/>
    <w:rsid w:val="00B503E8"/>
    <w:rsid w:val="00B51D97"/>
    <w:rsid w:val="00B527C1"/>
    <w:rsid w:val="00B64A95"/>
    <w:rsid w:val="00B747CB"/>
    <w:rsid w:val="00B800D2"/>
    <w:rsid w:val="00BA19B9"/>
    <w:rsid w:val="00BA4B20"/>
    <w:rsid w:val="00BA67BE"/>
    <w:rsid w:val="00BA7289"/>
    <w:rsid w:val="00BA759D"/>
    <w:rsid w:val="00BB0F7F"/>
    <w:rsid w:val="00BB1E33"/>
    <w:rsid w:val="00BB42D1"/>
    <w:rsid w:val="00BB4470"/>
    <w:rsid w:val="00BB637F"/>
    <w:rsid w:val="00BC114F"/>
    <w:rsid w:val="00BC2575"/>
    <w:rsid w:val="00BC4136"/>
    <w:rsid w:val="00BC4237"/>
    <w:rsid w:val="00BC4945"/>
    <w:rsid w:val="00BC4F9D"/>
    <w:rsid w:val="00BC77E4"/>
    <w:rsid w:val="00BE6E43"/>
    <w:rsid w:val="00BE7146"/>
    <w:rsid w:val="00BF574D"/>
    <w:rsid w:val="00C052E8"/>
    <w:rsid w:val="00C105F4"/>
    <w:rsid w:val="00C21621"/>
    <w:rsid w:val="00C33094"/>
    <w:rsid w:val="00C46318"/>
    <w:rsid w:val="00C53BAB"/>
    <w:rsid w:val="00C578E2"/>
    <w:rsid w:val="00C66D55"/>
    <w:rsid w:val="00C857B9"/>
    <w:rsid w:val="00C905E8"/>
    <w:rsid w:val="00C96DD8"/>
    <w:rsid w:val="00C97532"/>
    <w:rsid w:val="00C97E69"/>
    <w:rsid w:val="00CB2015"/>
    <w:rsid w:val="00CB2F91"/>
    <w:rsid w:val="00CB686E"/>
    <w:rsid w:val="00CD0F64"/>
    <w:rsid w:val="00CD4339"/>
    <w:rsid w:val="00CD6819"/>
    <w:rsid w:val="00CE0DBE"/>
    <w:rsid w:val="00CE2545"/>
    <w:rsid w:val="00CE584D"/>
    <w:rsid w:val="00CE7230"/>
    <w:rsid w:val="00CE7C4C"/>
    <w:rsid w:val="00CF72C0"/>
    <w:rsid w:val="00CF75E9"/>
    <w:rsid w:val="00D011F4"/>
    <w:rsid w:val="00D0744B"/>
    <w:rsid w:val="00D12BDF"/>
    <w:rsid w:val="00D1425B"/>
    <w:rsid w:val="00D1736A"/>
    <w:rsid w:val="00D23159"/>
    <w:rsid w:val="00D241EE"/>
    <w:rsid w:val="00D30313"/>
    <w:rsid w:val="00D34B01"/>
    <w:rsid w:val="00D37073"/>
    <w:rsid w:val="00D4688F"/>
    <w:rsid w:val="00D47203"/>
    <w:rsid w:val="00D51AFC"/>
    <w:rsid w:val="00D651AA"/>
    <w:rsid w:val="00D67312"/>
    <w:rsid w:val="00D70591"/>
    <w:rsid w:val="00D71304"/>
    <w:rsid w:val="00D72788"/>
    <w:rsid w:val="00D81CB2"/>
    <w:rsid w:val="00D8288F"/>
    <w:rsid w:val="00D858D4"/>
    <w:rsid w:val="00D87691"/>
    <w:rsid w:val="00DA13C6"/>
    <w:rsid w:val="00DA7BAA"/>
    <w:rsid w:val="00DA7BFB"/>
    <w:rsid w:val="00DB4D88"/>
    <w:rsid w:val="00DD5B8D"/>
    <w:rsid w:val="00DE4AD1"/>
    <w:rsid w:val="00DF12B0"/>
    <w:rsid w:val="00E00406"/>
    <w:rsid w:val="00E028F9"/>
    <w:rsid w:val="00E04E8E"/>
    <w:rsid w:val="00E05FDE"/>
    <w:rsid w:val="00E110CE"/>
    <w:rsid w:val="00E17F4E"/>
    <w:rsid w:val="00E519D4"/>
    <w:rsid w:val="00E6162C"/>
    <w:rsid w:val="00E645A8"/>
    <w:rsid w:val="00E74654"/>
    <w:rsid w:val="00E76915"/>
    <w:rsid w:val="00E80052"/>
    <w:rsid w:val="00E861F8"/>
    <w:rsid w:val="00E92307"/>
    <w:rsid w:val="00EA1CD3"/>
    <w:rsid w:val="00EB7C50"/>
    <w:rsid w:val="00EC1FF0"/>
    <w:rsid w:val="00EC3D8E"/>
    <w:rsid w:val="00EC50E9"/>
    <w:rsid w:val="00ED0C26"/>
    <w:rsid w:val="00ED46EF"/>
    <w:rsid w:val="00ED78DF"/>
    <w:rsid w:val="00EE495E"/>
    <w:rsid w:val="00EE65A5"/>
    <w:rsid w:val="00EF03AF"/>
    <w:rsid w:val="00F06D9A"/>
    <w:rsid w:val="00F23CFF"/>
    <w:rsid w:val="00F26591"/>
    <w:rsid w:val="00F30084"/>
    <w:rsid w:val="00F33DDC"/>
    <w:rsid w:val="00F42169"/>
    <w:rsid w:val="00F64BB0"/>
    <w:rsid w:val="00F64F8F"/>
    <w:rsid w:val="00F65DFB"/>
    <w:rsid w:val="00F65F05"/>
    <w:rsid w:val="00F67D9D"/>
    <w:rsid w:val="00F77EA1"/>
    <w:rsid w:val="00F818B7"/>
    <w:rsid w:val="00F834BA"/>
    <w:rsid w:val="00F8697C"/>
    <w:rsid w:val="00F9491D"/>
    <w:rsid w:val="00F968D2"/>
    <w:rsid w:val="00F968D8"/>
    <w:rsid w:val="00FB5F4F"/>
    <w:rsid w:val="00FB789A"/>
    <w:rsid w:val="00FC2A57"/>
    <w:rsid w:val="00FD75BD"/>
    <w:rsid w:val="00FE213A"/>
    <w:rsid w:val="00FE686A"/>
    <w:rsid w:val="00FF0A16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C1"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7C1"/>
    <w:pPr>
      <w:keepNext/>
      <w:jc w:val="center"/>
      <w:outlineLvl w:val="0"/>
    </w:pPr>
    <w:rPr>
      <w:rFonts w:ascii="Verdana" w:hAnsi="Verdana" w:cs="Verdana"/>
      <w:b/>
      <w:bCs/>
      <w:color w:val="595959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7C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7C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7C1"/>
    <w:pPr>
      <w:keepNext/>
      <w:spacing w:before="20" w:after="20"/>
      <w:ind w:right="-108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7C1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27C1"/>
    <w:pPr>
      <w:keepNext/>
      <w:spacing w:before="20" w:after="20"/>
      <w:ind w:right="-108"/>
      <w:jc w:val="center"/>
      <w:outlineLvl w:val="5"/>
    </w:pPr>
    <w:rPr>
      <w:lang w:val="et-E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27C1"/>
    <w:pPr>
      <w:keepNext/>
      <w:spacing w:before="20" w:after="20"/>
      <w:ind w:right="-108"/>
      <w:outlineLvl w:val="6"/>
    </w:pPr>
    <w:rPr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27C1"/>
    <w:pPr>
      <w:keepNext/>
      <w:ind w:right="35"/>
      <w:outlineLvl w:val="7"/>
    </w:pPr>
    <w:rPr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27C1"/>
    <w:pPr>
      <w:keepNext/>
      <w:jc w:val="right"/>
      <w:outlineLvl w:val="8"/>
    </w:pPr>
    <w:rPr>
      <w:b/>
      <w:bCs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527C1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27C1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27C1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527C1"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527C1"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527C1"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527C1"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527C1"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527C1"/>
    <w:rPr>
      <w:rFonts w:asciiTheme="majorHAnsi" w:eastAsiaTheme="majorEastAsia" w:hAnsiTheme="majorHAnsi" w:cs="Times New Roman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B527C1"/>
    <w:rPr>
      <w:rFonts w:eastAsia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527C1"/>
    <w:pPr>
      <w:ind w:firstLine="720"/>
    </w:pPr>
    <w:rPr>
      <w:lang w:val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27C1"/>
    <w:rPr>
      <w:rFonts w:cs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B527C1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27C1"/>
    <w:pPr>
      <w:ind w:right="21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27C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527C1"/>
    <w:pPr>
      <w:ind w:right="3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27C1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B527C1"/>
    <w:pPr>
      <w:numPr>
        <w:numId w:val="2"/>
      </w:numPr>
    </w:pPr>
    <w:rPr>
      <w:lang w:val="et-EE"/>
    </w:rPr>
  </w:style>
  <w:style w:type="paragraph" w:styleId="FootnoteText">
    <w:name w:val="footnote text"/>
    <w:basedOn w:val="Normal"/>
    <w:link w:val="FootnoteTextChar"/>
    <w:uiPriority w:val="99"/>
    <w:semiHidden/>
    <w:rsid w:val="00B527C1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27C1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B527C1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27C1"/>
    <w:rPr>
      <w:rFonts w:cs="Times New Roman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52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527C1"/>
    <w:pPr>
      <w:tabs>
        <w:tab w:val="center" w:pos="4153"/>
        <w:tab w:val="right" w:pos="8306"/>
      </w:tabs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7C1"/>
    <w:rPr>
      <w:rFonts w:cs="Times New Roman"/>
      <w:sz w:val="24"/>
      <w:szCs w:val="24"/>
      <w:lang w:val="en-GB" w:eastAsia="en-US"/>
    </w:rPr>
  </w:style>
  <w:style w:type="paragraph" w:customStyle="1" w:styleId="Style1">
    <w:name w:val="Style1"/>
    <w:basedOn w:val="Heading1"/>
    <w:uiPriority w:val="99"/>
    <w:rsid w:val="00B527C1"/>
    <w:pPr>
      <w:spacing w:before="240" w:after="120"/>
      <w:jc w:val="both"/>
    </w:pPr>
    <w:rPr>
      <w:rFonts w:ascii="Copperplate Gothic Light" w:hAnsi="Copperplate Gothic Light" w:cs="Copperplate Gothic Light"/>
      <w:color w:val="333399"/>
      <w:sz w:val="28"/>
      <w:szCs w:val="28"/>
      <w:lang w:val="et-EE"/>
    </w:rPr>
  </w:style>
  <w:style w:type="character" w:styleId="EndnoteReference">
    <w:name w:val="endnote reference"/>
    <w:basedOn w:val="DefaultParagraphFont"/>
    <w:uiPriority w:val="99"/>
    <w:semiHidden/>
    <w:rsid w:val="00B527C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52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27C1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B527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7C1"/>
    <w:rPr>
      <w:rFonts w:cs="Times New Roman"/>
      <w:sz w:val="20"/>
      <w:szCs w:val="20"/>
      <w:lang w:val="en-GB" w:eastAsia="en-US"/>
    </w:rPr>
  </w:style>
  <w:style w:type="paragraph" w:customStyle="1" w:styleId="H4">
    <w:name w:val="H4"/>
    <w:basedOn w:val="Normal"/>
    <w:next w:val="Normal"/>
    <w:uiPriority w:val="99"/>
    <w:rsid w:val="00B527C1"/>
    <w:pPr>
      <w:keepNext/>
      <w:spacing w:before="100" w:after="100"/>
      <w:outlineLvl w:val="4"/>
    </w:pPr>
    <w:rPr>
      <w:b/>
      <w:bCs/>
      <w:lang w:val="et-EE"/>
    </w:rPr>
  </w:style>
  <w:style w:type="paragraph" w:styleId="BodyTextIndent">
    <w:name w:val="Body Text Indent"/>
    <w:basedOn w:val="Normal"/>
    <w:link w:val="BodyTextIndentChar"/>
    <w:uiPriority w:val="99"/>
    <w:rsid w:val="00B527C1"/>
    <w:pPr>
      <w:jc w:val="both"/>
    </w:pPr>
    <w:rPr>
      <w:rFonts w:ascii="Times New (W1)" w:hAnsi="Times New (W1)" w:cs="Times New (W1)"/>
      <w:b/>
      <w:bCs/>
      <w:i/>
      <w:iCs/>
      <w:lang w:val="et-E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27C1"/>
    <w:rPr>
      <w:rFonts w:cs="Times New Roman"/>
      <w:sz w:val="24"/>
      <w:szCs w:val="24"/>
      <w:lang w:val="en-GB" w:eastAsia="en-US"/>
    </w:rPr>
  </w:style>
  <w:style w:type="paragraph" w:customStyle="1" w:styleId="H5">
    <w:name w:val="H5"/>
    <w:basedOn w:val="Normal"/>
    <w:next w:val="Normal"/>
    <w:uiPriority w:val="99"/>
    <w:rsid w:val="00B527C1"/>
    <w:pPr>
      <w:keepNext/>
      <w:spacing w:before="100" w:after="100"/>
      <w:outlineLvl w:val="5"/>
    </w:pPr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rsid w:val="0053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7C1"/>
    <w:rPr>
      <w:rFonts w:ascii="Tahoma" w:hAnsi="Tahoma" w:cs="Tahoma"/>
      <w:sz w:val="16"/>
      <w:szCs w:val="16"/>
      <w:lang w:val="en-GB" w:eastAsia="en-US"/>
    </w:rPr>
  </w:style>
  <w:style w:type="paragraph" w:customStyle="1" w:styleId="Preformatted">
    <w:name w:val="Preformatted"/>
    <w:basedOn w:val="Normal"/>
    <w:uiPriority w:val="99"/>
    <w:rsid w:val="00905B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7C1"/>
    <w:rPr>
      <w:rFonts w:cs="Times New Roman"/>
      <w:b/>
      <w:bCs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01A14"/>
    <w:rPr>
      <w:rFonts w:cs="Times New Roman"/>
    </w:rPr>
  </w:style>
  <w:style w:type="table" w:styleId="MediumGrid3-Accent3">
    <w:name w:val="Medium Grid 3 Accent 3"/>
    <w:basedOn w:val="TableNormal"/>
    <w:uiPriority w:val="69"/>
    <w:rsid w:val="00FD75BD"/>
    <w:pPr>
      <w:spacing w:after="0" w:line="240" w:lineRule="auto"/>
    </w:pPr>
    <w:rPr>
      <w:rFonts w:ascii="Calibri" w:hAnsi="Calibri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Standard">
    <w:name w:val="Standard"/>
    <w:uiPriority w:val="99"/>
    <w:rsid w:val="001D01E2"/>
    <w:pPr>
      <w:suppressAutoHyphens/>
      <w:autoSpaceDN w:val="0"/>
      <w:textAlignment w:val="baseline"/>
    </w:pPr>
    <w:rPr>
      <w:rFonts w:ascii="Calibri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center"/>
      <w:outlineLvl w:val="0"/>
    </w:pPr>
    <w:rPr>
      <w:rFonts w:ascii="Verdana" w:hAnsi="Verdana" w:cs="Verdana"/>
      <w:b/>
      <w:bCs/>
      <w:color w:val="595959"/>
      <w:sz w:val="18"/>
      <w:szCs w:val="1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center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spacing w:before="20" w:after="20"/>
      <w:ind w:right="-108"/>
      <w:outlineLvl w:val="3"/>
    </w:pPr>
    <w:rPr>
      <w:b/>
      <w:bCs/>
      <w:caps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spacing w:before="20" w:after="20"/>
      <w:ind w:right="-108"/>
      <w:jc w:val="center"/>
      <w:outlineLvl w:val="5"/>
    </w:pPr>
    <w:rPr>
      <w:lang w:val="et-EE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spacing w:before="20" w:after="20"/>
      <w:ind w:right="-108"/>
      <w:outlineLvl w:val="6"/>
    </w:pPr>
    <w:rPr>
      <w:sz w:val="22"/>
      <w:szCs w:val="22"/>
      <w:lang w:val="et-EE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ind w:right="35"/>
      <w:outlineLvl w:val="7"/>
    </w:pPr>
    <w:rPr>
      <w:b/>
      <w:bCs/>
      <w:lang w:val="et-EE"/>
    </w:rPr>
  </w:style>
  <w:style w:type="paragraph" w:styleId="Pealkiri9">
    <w:name w:val="heading 9"/>
    <w:basedOn w:val="Normaallaad"/>
    <w:next w:val="Normaallaad"/>
    <w:link w:val="Pealkiri9Mrk"/>
    <w:uiPriority w:val="99"/>
    <w:qFormat/>
    <w:pPr>
      <w:keepNext/>
      <w:jc w:val="right"/>
      <w:outlineLvl w:val="8"/>
    </w:pPr>
    <w:rPr>
      <w:b/>
      <w:bCs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lang w:val="en-GB" w:eastAsia="en-US"/>
    </w:rPr>
  </w:style>
  <w:style w:type="paragraph" w:styleId="Normaallaadveeb">
    <w:name w:val="Normal (Web)"/>
    <w:aliases w:val="webb"/>
    <w:basedOn w:val="Normaallaad"/>
    <w:uiPriority w:val="99"/>
    <w:rPr>
      <w:rFonts w:eastAsia="Arial Unicode MS"/>
      <w:lang w:val="en-US"/>
    </w:rPr>
  </w:style>
  <w:style w:type="paragraph" w:styleId="Taandegakehatekst3">
    <w:name w:val="Body Text Indent 3"/>
    <w:basedOn w:val="Normaallaad"/>
    <w:link w:val="Taandegakehatekst3Mrk"/>
    <w:uiPriority w:val="99"/>
    <w:pPr>
      <w:ind w:firstLine="720"/>
    </w:pPr>
    <w:rPr>
      <w:lang w:val="et-EE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Pealdis">
    <w:name w:val="caption"/>
    <w:basedOn w:val="Normaallaad"/>
    <w:next w:val="Normaallaad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Kehatekst">
    <w:name w:val="Body Text"/>
    <w:basedOn w:val="Normaallaad"/>
    <w:link w:val="KehatekstMrk"/>
    <w:uiPriority w:val="99"/>
    <w:pPr>
      <w:ind w:right="215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Kehatekst2">
    <w:name w:val="Body Text 2"/>
    <w:basedOn w:val="Normaallaad"/>
    <w:link w:val="Kehatekst2Mrk"/>
    <w:uiPriority w:val="99"/>
    <w:pPr>
      <w:ind w:right="35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Loenditpp">
    <w:name w:val="List Bullet"/>
    <w:basedOn w:val="Normaallaad"/>
    <w:autoRedefine/>
    <w:uiPriority w:val="99"/>
    <w:pPr>
      <w:numPr>
        <w:numId w:val="2"/>
      </w:numPr>
    </w:pPr>
    <w:rPr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rPr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lang w:val="et-EE"/>
    </w:rPr>
  </w:style>
  <w:style w:type="character" w:customStyle="1" w:styleId="JalusMrk">
    <w:name w:val="Jalus Märk"/>
    <w:basedOn w:val="Liguvaikefont"/>
    <w:link w:val="Jalus"/>
    <w:uiPriority w:val="99"/>
    <w:locked/>
    <w:rPr>
      <w:rFonts w:cs="Times New Roman"/>
      <w:sz w:val="24"/>
      <w:szCs w:val="24"/>
      <w:lang w:val="en-GB" w:eastAsia="en-US"/>
    </w:rPr>
  </w:style>
  <w:style w:type="character" w:styleId="Allmrkuseviide">
    <w:name w:val="footnote reference"/>
    <w:basedOn w:val="Liguvaikefont"/>
    <w:uiPriority w:val="99"/>
    <w:semiHidden/>
    <w:rPr>
      <w:rFonts w:cs="Times New Roman"/>
      <w:vertAlign w:val="superscript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Style1">
    <w:name w:val="Style1"/>
    <w:basedOn w:val="Pealkiri1"/>
    <w:uiPriority w:val="99"/>
    <w:pPr>
      <w:spacing w:before="240" w:after="120"/>
      <w:jc w:val="both"/>
    </w:pPr>
    <w:rPr>
      <w:rFonts w:ascii="Copperplate Gothic Light" w:hAnsi="Copperplate Gothic Light" w:cs="Copperplate Gothic Light"/>
      <w:color w:val="333399"/>
      <w:sz w:val="28"/>
      <w:szCs w:val="28"/>
      <w:lang w:val="et-E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pumrkuseviide">
    <w:name w:val="endnote reference"/>
    <w:basedOn w:val="Liguvaikefont"/>
    <w:uiPriority w:val="99"/>
    <w:semiHidden/>
    <w:rPr>
      <w:rFonts w:cs="Times New Roman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H4">
    <w:name w:val="H4"/>
    <w:basedOn w:val="Normaallaad"/>
    <w:next w:val="Normaallaad"/>
    <w:uiPriority w:val="99"/>
    <w:pPr>
      <w:keepNext/>
      <w:spacing w:before="100" w:after="100"/>
      <w:outlineLvl w:val="4"/>
    </w:pPr>
    <w:rPr>
      <w:b/>
      <w:bCs/>
      <w:lang w:val="et-EE"/>
    </w:rPr>
  </w:style>
  <w:style w:type="paragraph" w:styleId="Taandegakehatekst">
    <w:name w:val="Body Text Indent"/>
    <w:basedOn w:val="Normaallaad"/>
    <w:link w:val="TaandegakehatekstMrk"/>
    <w:uiPriority w:val="99"/>
    <w:pPr>
      <w:jc w:val="both"/>
    </w:pPr>
    <w:rPr>
      <w:rFonts w:ascii="Times New (W1)" w:hAnsi="Times New (W1)" w:cs="Times New (W1)"/>
      <w:b/>
      <w:bCs/>
      <w:i/>
      <w:iCs/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H5">
    <w:name w:val="H5"/>
    <w:basedOn w:val="Normaallaad"/>
    <w:next w:val="Normaallaad"/>
    <w:uiPriority w:val="99"/>
    <w:pPr>
      <w:keepNext/>
      <w:spacing w:before="100" w:after="100"/>
      <w:outlineLvl w:val="5"/>
    </w:pPr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rsid w:val="005304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Preformatted">
    <w:name w:val="Preformatted"/>
    <w:basedOn w:val="Normaallaad"/>
    <w:uiPriority w:val="99"/>
    <w:rsid w:val="00905B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6812B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styleId="Lehekljenumber">
    <w:name w:val="page number"/>
    <w:basedOn w:val="Liguvaikefont"/>
    <w:uiPriority w:val="99"/>
    <w:rsid w:val="00B01A14"/>
    <w:rPr>
      <w:rFonts w:cs="Times New Roman"/>
    </w:rPr>
  </w:style>
  <w:style w:type="table" w:styleId="Keskminekoordinaatvrk3rhk3">
    <w:name w:val="Medium Grid 3 Accent 3"/>
    <w:basedOn w:val="Normaaltabel"/>
    <w:uiPriority w:val="69"/>
    <w:rsid w:val="00FD75BD"/>
    <w:pPr>
      <w:spacing w:after="0" w:line="240" w:lineRule="auto"/>
    </w:pPr>
    <w:rPr>
      <w:rFonts w:ascii="Calibri" w:hAnsi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Standard">
    <w:name w:val="Standard"/>
    <w:uiPriority w:val="99"/>
    <w:rsid w:val="001D01E2"/>
    <w:pPr>
      <w:suppressAutoHyphens/>
      <w:autoSpaceDN w:val="0"/>
      <w:textAlignment w:val="baseline"/>
    </w:pPr>
    <w:rPr>
      <w:rFonts w:ascii="Calibri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A3D2-5691-422D-B4C5-3DC8BDB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1827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Põllumajandusministri</vt:lpstr>
      <vt:lpstr>Põllumajandusministri</vt:lpstr>
    </vt:vector>
  </TitlesOfParts>
  <Company>Põllumajandusministeerium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</dc:title>
  <dc:creator>abremse</dc:creator>
  <cp:lastModifiedBy>Krista Kõiv</cp:lastModifiedBy>
  <cp:revision>2</cp:revision>
  <cp:lastPrinted>2015-09-14T07:21:00Z</cp:lastPrinted>
  <dcterms:created xsi:type="dcterms:W3CDTF">2015-09-28T07:00:00Z</dcterms:created>
  <dcterms:modified xsi:type="dcterms:W3CDTF">2015-09-28T07:00:00Z</dcterms:modified>
</cp:coreProperties>
</file>