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76" w:rsidRPr="00310DBD" w:rsidRDefault="000A0B76" w:rsidP="000A0B76">
      <w:pPr>
        <w:spacing w:after="0" w:line="240" w:lineRule="auto"/>
        <w:jc w:val="center"/>
        <w:rPr>
          <w:rFonts w:ascii="Roboto Condensed" w:eastAsia="Times New Roman" w:hAnsi="Roboto Condensed" w:cs="Times New Roman"/>
          <w:b/>
          <w:bCs/>
          <w:color w:val="000000"/>
          <w:lang w:eastAsia="et-EE"/>
        </w:rPr>
      </w:pPr>
      <w:bookmarkStart w:id="0" w:name="_GoBack"/>
      <w:bookmarkEnd w:id="0"/>
      <w:r w:rsidRPr="00310DBD">
        <w:rPr>
          <w:rFonts w:ascii="Roboto Condensed" w:eastAsia="Times New Roman" w:hAnsi="Roboto Condensed" w:cs="Times New Roman"/>
          <w:b/>
          <w:bCs/>
          <w:color w:val="000000"/>
          <w:lang w:eastAsia="et-EE"/>
        </w:rPr>
        <w:t xml:space="preserve">C. STRATEEGIA MEEDE </w:t>
      </w:r>
      <w:r w:rsidRPr="00310DBD">
        <w:rPr>
          <w:rFonts w:ascii="Calibri" w:eastAsia="Times New Roman" w:hAnsi="Calibri" w:cs="Times New Roman"/>
          <w:b/>
          <w:bCs/>
          <w:color w:val="000000"/>
          <w:lang w:eastAsia="et-EE"/>
        </w:rPr>
        <w:t>¹</w:t>
      </w:r>
    </w:p>
    <w:p w:rsidR="000A0B76" w:rsidRDefault="000A0B76" w:rsidP="000A0B76">
      <w:pPr>
        <w:spacing w:after="0"/>
        <w:jc w:val="center"/>
        <w:rPr>
          <w:rFonts w:ascii="Cambria" w:hAnsi="Cambria" w:cs="Times New Roman"/>
          <w:b/>
        </w:rPr>
      </w:pPr>
    </w:p>
    <w:p w:rsidR="000A0B76" w:rsidRDefault="000A0B76" w:rsidP="005A5B37">
      <w:pPr>
        <w:spacing w:after="0"/>
        <w:rPr>
          <w:rFonts w:ascii="Cambria" w:hAnsi="Cambria" w:cs="Times New Roman"/>
          <w:b/>
        </w:rPr>
      </w:pPr>
    </w:p>
    <w:p w:rsidR="00382FA6" w:rsidRPr="001E744C" w:rsidRDefault="00382FA6" w:rsidP="005A5B37">
      <w:pPr>
        <w:spacing w:after="0"/>
        <w:rPr>
          <w:rFonts w:ascii="Cambria" w:hAnsi="Cambria" w:cs="Times New Roman"/>
          <w:b/>
        </w:rPr>
      </w:pPr>
      <w:r w:rsidRPr="001E744C">
        <w:rPr>
          <w:rFonts w:ascii="Cambria" w:hAnsi="Cambria" w:cs="Times New Roman"/>
          <w:b/>
        </w:rPr>
        <w:t xml:space="preserve">1. Strateegia meetme nimetus </w:t>
      </w:r>
    </w:p>
    <w:p w:rsidR="00B05747" w:rsidRPr="000A0B76" w:rsidRDefault="00382FA6" w:rsidP="005A5B37">
      <w:pPr>
        <w:spacing w:after="0"/>
        <w:rPr>
          <w:rFonts w:ascii="Cambria" w:hAnsi="Cambria" w:cs="Times New Roman"/>
        </w:rPr>
      </w:pPr>
      <w:r w:rsidRPr="000A0B76">
        <w:rPr>
          <w:rFonts w:ascii="Cambria" w:hAnsi="Cambria" w:cs="Times New Roman"/>
        </w:rPr>
        <w:t>MEEDE 1 Ettevõtluse arendamine ja mitmekesistamine</w:t>
      </w:r>
      <w:r w:rsidR="001B57F0" w:rsidRPr="000A0B76">
        <w:rPr>
          <w:rFonts w:ascii="Cambria" w:hAnsi="Cambria" w:cs="Times New Roman"/>
        </w:rPr>
        <w:t xml:space="preserve"> </w:t>
      </w:r>
    </w:p>
    <w:p w:rsidR="005A5B37" w:rsidRPr="001E744C" w:rsidRDefault="005A5B37" w:rsidP="005A5B37">
      <w:pPr>
        <w:spacing w:after="0"/>
        <w:rPr>
          <w:rFonts w:ascii="Cambria" w:hAnsi="Cambria" w:cs="Times New Roman"/>
          <w:b/>
        </w:rPr>
      </w:pPr>
    </w:p>
    <w:p w:rsidR="001B57F0" w:rsidRPr="001E744C" w:rsidRDefault="001B57F0" w:rsidP="005A5B37">
      <w:pPr>
        <w:spacing w:after="0"/>
        <w:rPr>
          <w:rFonts w:ascii="Cambria" w:hAnsi="Cambria" w:cs="Times New Roman"/>
          <w:b/>
        </w:rPr>
      </w:pPr>
      <w:r w:rsidRPr="001E744C">
        <w:rPr>
          <w:rFonts w:ascii="Cambria" w:hAnsi="Cambria" w:cs="Times New Roman"/>
          <w:b/>
        </w:rPr>
        <w:t>2. Strateegia meetme rakendamise vajaduse lühikirjeldus</w:t>
      </w:r>
    </w:p>
    <w:p w:rsidR="001B57F0" w:rsidRPr="001E744C" w:rsidRDefault="001B57F0" w:rsidP="001B57F0">
      <w:pPr>
        <w:rPr>
          <w:rFonts w:ascii="Cambria" w:hAnsi="Cambria" w:cs="Times New Roman"/>
        </w:rPr>
      </w:pPr>
      <w:r w:rsidRPr="001E744C">
        <w:rPr>
          <w:rFonts w:ascii="Cambria" w:hAnsi="Cambria" w:cs="Times New Roman"/>
        </w:rPr>
        <w:t xml:space="preserve">PLPK tegevuspiirkonna peamiseks probleemiks on kvalifitseeritud tööjõu vähenemine. Valdavalt mikro- ja väikeettevõtjad ei suuda piisavalt investeerida, oma teenuseid ja toodangut turustada, napib ressurssi uute konkurentsivõimet kasvatavate lahenduste: toodete, tootmisprotsessi jms väljatöötamiseks. Vajadus toetada  tootmise efektiivsuse tõstmist, tootearendust, teenuste disainimist ja turundust; mikro- ning väikeettevõtjate </w:t>
      </w:r>
      <w:proofErr w:type="spellStart"/>
      <w:r w:rsidRPr="001E744C">
        <w:rPr>
          <w:rFonts w:ascii="Cambria" w:hAnsi="Cambria" w:cs="Times New Roman"/>
        </w:rPr>
        <w:t>võrgustumist</w:t>
      </w:r>
      <w:proofErr w:type="spellEnd"/>
      <w:r w:rsidRPr="001E744C">
        <w:rPr>
          <w:rFonts w:ascii="Cambria" w:hAnsi="Cambria" w:cs="Times New Roman"/>
        </w:rPr>
        <w:t>, koolitamist; kohalikule toorainele ja ressursile lisandväärtuse andmist.</w:t>
      </w:r>
    </w:p>
    <w:p w:rsidR="00184E15" w:rsidRPr="001E744C" w:rsidRDefault="00184E15" w:rsidP="005A5B37">
      <w:pPr>
        <w:spacing w:after="0"/>
        <w:rPr>
          <w:rFonts w:ascii="Cambria" w:hAnsi="Cambria" w:cs="Times New Roman"/>
          <w:b/>
        </w:rPr>
      </w:pPr>
      <w:r w:rsidRPr="001E744C">
        <w:rPr>
          <w:rFonts w:ascii="Cambria" w:hAnsi="Cambria" w:cs="Times New Roman"/>
          <w:b/>
        </w:rPr>
        <w:t xml:space="preserve">3. Strateegia meetme eesmärk  </w:t>
      </w:r>
    </w:p>
    <w:p w:rsidR="00184E15" w:rsidRPr="001E744C" w:rsidRDefault="00184E15" w:rsidP="005A5B37">
      <w:pPr>
        <w:spacing w:after="0"/>
        <w:rPr>
          <w:rFonts w:ascii="Cambria" w:hAnsi="Cambria" w:cs="Times New Roman"/>
        </w:rPr>
      </w:pPr>
      <w:r w:rsidRPr="001E744C">
        <w:rPr>
          <w:rFonts w:ascii="Cambria" w:hAnsi="Cambria" w:cs="Times New Roman"/>
        </w:rPr>
        <w:t>PLPK tegevuspiirkonnas on arenenud uuenduslik ettevõtlus ja paranenud tööhõive.                                                                                                                                                                                                                  Spetsiifilised eesmärgid:</w:t>
      </w:r>
      <w:r w:rsidRPr="001E744C">
        <w:rPr>
          <w:rFonts w:ascii="Cambria" w:hAnsi="Cambria" w:cs="Times New Roman"/>
        </w:rPr>
        <w:br/>
        <w:t>• tegevuspiirkonnas kohalikule toorainele ja ressursile on  antud lisandväärtust;</w:t>
      </w:r>
      <w:r w:rsidRPr="001E744C">
        <w:rPr>
          <w:rFonts w:ascii="Cambria" w:hAnsi="Cambria" w:cs="Times New Roman"/>
        </w:rPr>
        <w:br/>
        <w:t xml:space="preserve">• kasutusele on võetud uuenduslikke lahendusi; </w:t>
      </w:r>
      <w:r w:rsidRPr="001E744C">
        <w:rPr>
          <w:rFonts w:ascii="Cambria" w:hAnsi="Cambria" w:cs="Times New Roman"/>
        </w:rPr>
        <w:br/>
        <w:t xml:space="preserve">• toimib mikroettevõtjate koostöö ja </w:t>
      </w:r>
      <w:proofErr w:type="spellStart"/>
      <w:r w:rsidRPr="001E744C">
        <w:rPr>
          <w:rFonts w:ascii="Cambria" w:hAnsi="Cambria" w:cs="Times New Roman"/>
        </w:rPr>
        <w:t>võrgustumine</w:t>
      </w:r>
      <w:proofErr w:type="spellEnd"/>
      <w:r w:rsidRPr="001E744C">
        <w:rPr>
          <w:rFonts w:ascii="Cambria" w:hAnsi="Cambria" w:cs="Times New Roman"/>
        </w:rPr>
        <w:t>;</w:t>
      </w:r>
      <w:r w:rsidRPr="001E744C">
        <w:rPr>
          <w:rFonts w:ascii="Cambria" w:hAnsi="Cambria" w:cs="Times New Roman"/>
        </w:rPr>
        <w:br/>
        <w:t xml:space="preserve">• teenuste, toodete kvaliteet </w:t>
      </w:r>
      <w:r w:rsidR="00922FAF" w:rsidRPr="00D77492">
        <w:rPr>
          <w:rFonts w:ascii="Cambria" w:hAnsi="Cambria" w:cs="Times New Roman"/>
        </w:rPr>
        <w:t>ja kättesaadavus</w:t>
      </w:r>
      <w:r w:rsidR="00922FAF">
        <w:rPr>
          <w:rFonts w:ascii="Cambria" w:hAnsi="Cambria" w:cs="Times New Roman"/>
        </w:rPr>
        <w:t xml:space="preserve"> </w:t>
      </w:r>
      <w:r w:rsidRPr="001E744C">
        <w:rPr>
          <w:rFonts w:ascii="Cambria" w:hAnsi="Cambria" w:cs="Times New Roman"/>
        </w:rPr>
        <w:t>on paranenud</w:t>
      </w:r>
    </w:p>
    <w:p w:rsidR="005A5B37" w:rsidRPr="001E744C" w:rsidRDefault="005A5B37" w:rsidP="005A5B37">
      <w:pPr>
        <w:spacing w:after="0"/>
        <w:rPr>
          <w:rFonts w:ascii="Cambria" w:hAnsi="Cambria" w:cs="Times New Roman"/>
          <w:b/>
        </w:rPr>
      </w:pPr>
    </w:p>
    <w:p w:rsidR="00CE7B68" w:rsidRPr="001E744C" w:rsidRDefault="00CE7B68" w:rsidP="005A5B37">
      <w:pPr>
        <w:spacing w:after="0"/>
        <w:rPr>
          <w:rFonts w:ascii="Cambria" w:hAnsi="Cambria" w:cs="Times New Roman"/>
          <w:b/>
        </w:rPr>
      </w:pPr>
      <w:r w:rsidRPr="001E744C">
        <w:rPr>
          <w:rFonts w:ascii="Cambria" w:hAnsi="Cambria" w:cs="Times New Roman"/>
          <w:b/>
        </w:rPr>
        <w:t xml:space="preserve">4. Toetatavad tegevused² </w:t>
      </w:r>
    </w:p>
    <w:p w:rsidR="00CE7B68" w:rsidRPr="001E744C" w:rsidRDefault="00CE7B68" w:rsidP="005A5B37">
      <w:pPr>
        <w:spacing w:after="0"/>
        <w:rPr>
          <w:rFonts w:ascii="Cambria" w:hAnsi="Cambria" w:cs="Times New Roman"/>
        </w:rPr>
      </w:pPr>
      <w:r w:rsidRPr="001E744C">
        <w:rPr>
          <w:rFonts w:ascii="Cambria" w:hAnsi="Cambria" w:cs="Times New Roman"/>
        </w:rPr>
        <w:t>PLPK meetmes lubatud investeeringud ja muud tegevused (</w:t>
      </w:r>
      <w:proofErr w:type="spellStart"/>
      <w:r w:rsidRPr="001E744C">
        <w:rPr>
          <w:rFonts w:ascii="Cambria" w:hAnsi="Cambria" w:cs="Times New Roman"/>
        </w:rPr>
        <w:t>Leader</w:t>
      </w:r>
      <w:proofErr w:type="spellEnd"/>
      <w:r w:rsidRPr="001E744C">
        <w:rPr>
          <w:rFonts w:ascii="Cambria" w:hAnsi="Cambria" w:cs="Times New Roman"/>
        </w:rPr>
        <w:t xml:space="preserve"> määruse § 28, 30, 32 toodud nõuetest):                                                                                                                                                                                                                                                         1. Tootmis- või teenindushoonete, -rajatiste, -taristu ehitamine, rekonstrueerimine, renoveerimine.</w:t>
      </w:r>
      <w:r w:rsidRPr="001E744C">
        <w:rPr>
          <w:rFonts w:ascii="Cambria" w:hAnsi="Cambria" w:cs="Times New Roman"/>
        </w:rPr>
        <w:br/>
        <w:t>2. Seadmete, masinate (v.a mootorsõidukid, sh ka ATV) ja tarkvara hankimine.</w:t>
      </w:r>
      <w:r w:rsidRPr="001E744C">
        <w:rPr>
          <w:rFonts w:ascii="Cambria" w:hAnsi="Cambria" w:cs="Times New Roman"/>
        </w:rPr>
        <w:br/>
        <w:t xml:space="preserve">3. Investeeringud taastuvenergia tootmisse ja energiasäästmisse. </w:t>
      </w:r>
      <w:r w:rsidRPr="001E744C">
        <w:rPr>
          <w:rFonts w:ascii="Cambria" w:hAnsi="Cambria" w:cs="Times New Roman"/>
        </w:rPr>
        <w:br/>
        <w:t xml:space="preserve">4. Toodete, teenuste arendamine, </w:t>
      </w:r>
      <w:proofErr w:type="spellStart"/>
      <w:r w:rsidRPr="001E744C">
        <w:rPr>
          <w:rFonts w:ascii="Cambria" w:hAnsi="Cambria" w:cs="Times New Roman"/>
        </w:rPr>
        <w:t>turundamine</w:t>
      </w:r>
      <w:proofErr w:type="spellEnd"/>
      <w:r w:rsidRPr="001E744C">
        <w:rPr>
          <w:rFonts w:ascii="Cambria" w:hAnsi="Cambria" w:cs="Times New Roman"/>
        </w:rPr>
        <w:t xml:space="preserve"> ja disain, kvaliteedi tõstmine ning sh ühistöö teadusasutuste ning tehnoloogiafirmadega prototüüpide loomisel.</w:t>
      </w:r>
      <w:r w:rsidRPr="001E744C">
        <w:rPr>
          <w:rFonts w:ascii="Cambria" w:hAnsi="Cambria" w:cs="Times New Roman"/>
        </w:rPr>
        <w:br/>
      </w:r>
      <w:r w:rsidRPr="005F4C68">
        <w:rPr>
          <w:rFonts w:ascii="Cambria" w:hAnsi="Cambria" w:cs="Times New Roman"/>
          <w:highlight w:val="yellow"/>
        </w:rPr>
        <w:t xml:space="preserve">5. Ettevõtjate koostöövõrgustike koolitus- ja teavitustegevused, ühistegevused, mis tutvustavad uut tehnoloogiat või tootmisviisi, sh </w:t>
      </w:r>
      <w:proofErr w:type="spellStart"/>
      <w:r w:rsidRPr="005F4C68">
        <w:rPr>
          <w:rFonts w:ascii="Cambria" w:hAnsi="Cambria" w:cs="Times New Roman"/>
          <w:highlight w:val="yellow"/>
        </w:rPr>
        <w:t>ühis</w:t>
      </w:r>
      <w:proofErr w:type="spellEnd"/>
      <w:r w:rsidRPr="005F4C68">
        <w:rPr>
          <w:rFonts w:ascii="Cambria" w:hAnsi="Cambria" w:cs="Times New Roman"/>
          <w:highlight w:val="yellow"/>
        </w:rPr>
        <w:t>- ja teadmussiirde projektid.</w:t>
      </w:r>
      <w:r w:rsidRPr="005F4C68">
        <w:rPr>
          <w:rFonts w:ascii="Cambria" w:hAnsi="Cambria" w:cs="Times New Roman"/>
          <w:highlight w:val="yellow"/>
        </w:rPr>
        <w:br/>
        <w:t>6. Kogukonna vajadustest lähtuvad kogukonnateenused.</w:t>
      </w:r>
    </w:p>
    <w:p w:rsidR="00153553" w:rsidRPr="001E744C" w:rsidRDefault="00153553" w:rsidP="00153553">
      <w:pPr>
        <w:spacing w:after="0"/>
        <w:rPr>
          <w:rFonts w:ascii="Cambria" w:hAnsi="Cambria" w:cs="Times New Roman"/>
        </w:rPr>
      </w:pPr>
    </w:p>
    <w:p w:rsidR="00E354C9" w:rsidRPr="001E744C" w:rsidRDefault="00E354C9" w:rsidP="00153553">
      <w:pPr>
        <w:spacing w:after="0"/>
        <w:rPr>
          <w:rFonts w:ascii="Cambria" w:hAnsi="Cambria" w:cs="Times New Roman"/>
          <w:b/>
        </w:rPr>
      </w:pPr>
      <w:r w:rsidRPr="001E744C">
        <w:rPr>
          <w:rFonts w:ascii="Cambria" w:hAnsi="Cambria" w:cs="Times New Roman"/>
          <w:b/>
        </w:rPr>
        <w:t>5. Kohaliku tegevusgrupi nõuded projektitoetuse taotlejale ja toetuse saajale (sh. dokumendid , mida peab projektitoetuse taotleja esitama taotluse esitamisel)</w:t>
      </w:r>
      <w:r w:rsidR="00993B80" w:rsidRPr="001E744C">
        <w:rPr>
          <w:rFonts w:ascii="Cambria" w:hAnsi="Cambria" w:cs="Times New Roman"/>
          <w:b/>
        </w:rPr>
        <w:t xml:space="preserve"> </w:t>
      </w:r>
    </w:p>
    <w:p w:rsidR="00FC038E" w:rsidRDefault="00993B80" w:rsidP="00FC038E">
      <w:pPr>
        <w:spacing w:after="0"/>
        <w:rPr>
          <w:rFonts w:ascii="Cambria" w:hAnsi="Cambria" w:cs="Times New Roman"/>
        </w:rPr>
      </w:pPr>
      <w:r w:rsidRPr="009A4E70">
        <w:rPr>
          <w:rFonts w:ascii="Cambria" w:hAnsi="Cambria" w:cs="Times New Roman"/>
        </w:rPr>
        <w:t>Meetme sihtgrupp on tegevuspiirkonnas vähemalt kuus kuud tegutsev alla 10 töötajaga (taotluse esitamise ajal) ettevõtja (AS, OÜ, FIE), SA ja MTÜ, mille liikmetest üle 50 protsenti on ettevõtjad.</w:t>
      </w:r>
      <w:r w:rsidR="00FC038E">
        <w:rPr>
          <w:rFonts w:ascii="Cambria" w:hAnsi="Cambria" w:cs="Times New Roman"/>
        </w:rPr>
        <w:t xml:space="preserve"> </w:t>
      </w:r>
    </w:p>
    <w:p w:rsidR="00993B80" w:rsidRPr="00FC038E" w:rsidRDefault="00993B80" w:rsidP="00FC038E">
      <w:pPr>
        <w:spacing w:after="0"/>
        <w:rPr>
          <w:rFonts w:ascii="Cambria" w:hAnsi="Cambria" w:cs="Times New Roman"/>
        </w:rPr>
      </w:pPr>
      <w:r w:rsidRPr="00FC038E">
        <w:rPr>
          <w:rFonts w:ascii="Cambria" w:hAnsi="Cambria" w:cs="Times New Roman"/>
        </w:rPr>
        <w:t>Meedet rakendatakse PLPK tegevuspiirkonnas</w:t>
      </w:r>
      <w:r w:rsidR="00E35C38" w:rsidRPr="00FC038E">
        <w:rPr>
          <w:rFonts w:ascii="Cambria" w:hAnsi="Cambria" w:cs="Times New Roman"/>
        </w:rPr>
        <w:t>: Häädemeeste vald, Kihnu vald, Pärnu linna Audru ja Tõstamaa osavallad, Saarde vald (haldusreformieelne Saarde valla territoorium), Tori vald (haldusreformieelne Sauga valla territoorium), Lääneranna vald (haldusreformieelsed Varbla ja Koonga valla territooriumid).</w:t>
      </w:r>
    </w:p>
    <w:p w:rsidR="00FC038E" w:rsidRDefault="00FC038E" w:rsidP="00153553">
      <w:pPr>
        <w:spacing w:after="0"/>
        <w:rPr>
          <w:rFonts w:ascii="Cambria" w:hAnsi="Cambria" w:cs="Times New Roman"/>
        </w:rPr>
      </w:pPr>
    </w:p>
    <w:p w:rsidR="00993B80" w:rsidRPr="001E744C" w:rsidRDefault="00993B80" w:rsidP="00153553">
      <w:pPr>
        <w:spacing w:after="0"/>
        <w:rPr>
          <w:rFonts w:ascii="Cambria" w:hAnsi="Cambria" w:cs="Times New Roman"/>
        </w:rPr>
      </w:pPr>
      <w:r w:rsidRPr="001E744C">
        <w:rPr>
          <w:rFonts w:ascii="Cambria" w:hAnsi="Cambria" w:cs="Times New Roman"/>
        </w:rPr>
        <w:t xml:space="preserve">Lisaks </w:t>
      </w:r>
      <w:proofErr w:type="spellStart"/>
      <w:r w:rsidRPr="001E744C">
        <w:rPr>
          <w:rFonts w:ascii="Cambria" w:hAnsi="Cambria" w:cs="Times New Roman"/>
        </w:rPr>
        <w:t>Leader</w:t>
      </w:r>
      <w:proofErr w:type="spellEnd"/>
      <w:r w:rsidRPr="001E744C">
        <w:rPr>
          <w:rFonts w:ascii="Cambria" w:hAnsi="Cambria" w:cs="Times New Roman"/>
        </w:rPr>
        <w:t xml:space="preserve"> määruse § 37 nõuetele on kohaliku tegevusgrupi poolt kehtestatud taotlejale täiendavad tingimused meetme raames:                                                                                                                                                                                                                                                                                                                  1. Meedet rakendatakse tootmise mitmekesistamisel mittepõllumajanduslikul suunal.</w:t>
      </w:r>
    </w:p>
    <w:p w:rsidR="00993B80" w:rsidRPr="001E744C" w:rsidRDefault="00993B80" w:rsidP="00153553">
      <w:pPr>
        <w:spacing w:after="0"/>
        <w:rPr>
          <w:rFonts w:ascii="Cambria" w:hAnsi="Cambria" w:cs="Times New Roman"/>
        </w:rPr>
      </w:pPr>
      <w:r w:rsidRPr="001E744C">
        <w:rPr>
          <w:rFonts w:ascii="Cambria" w:hAnsi="Cambria" w:cs="Times New Roman"/>
        </w:rPr>
        <w:t>2. Roheenergia tootmist toetatakse kui toodetavat energiat tarbitakse ennekõike taotleja ettevõttes.</w:t>
      </w:r>
    </w:p>
    <w:p w:rsidR="00993B80" w:rsidRPr="001E744C" w:rsidRDefault="00993B80" w:rsidP="00153553">
      <w:pPr>
        <w:spacing w:after="0"/>
        <w:rPr>
          <w:rFonts w:ascii="Cambria" w:hAnsi="Cambria" w:cs="Times New Roman"/>
        </w:rPr>
      </w:pPr>
      <w:r w:rsidRPr="005F4C68">
        <w:rPr>
          <w:rFonts w:ascii="Cambria" w:hAnsi="Cambria" w:cs="Times New Roman"/>
          <w:highlight w:val="yellow"/>
        </w:rPr>
        <w:lastRenderedPageBreak/>
        <w:t>3. Maksimaalset projektitoetust kuni 200 000 eurot rakendatakse kohaliku tooraine töötlemise vähemalt 10 ettevõtja ühisprojektile, mis annab toormele võimalikult suure lisandväärtuse ja on kirjeldatud arvestatavad turustuskanalid.</w:t>
      </w:r>
      <w:r w:rsidRPr="001E744C">
        <w:rPr>
          <w:rFonts w:ascii="Cambria" w:hAnsi="Cambria" w:cs="Times New Roman"/>
        </w:rPr>
        <w:t xml:space="preserve"> </w:t>
      </w:r>
    </w:p>
    <w:p w:rsidR="00993B80" w:rsidRPr="005F4C68" w:rsidRDefault="00993B80" w:rsidP="00153553">
      <w:pPr>
        <w:spacing w:after="0"/>
        <w:rPr>
          <w:rFonts w:ascii="Cambria" w:hAnsi="Cambria" w:cs="Times New Roman"/>
          <w:highlight w:val="yellow"/>
        </w:rPr>
      </w:pPr>
      <w:r w:rsidRPr="005F4C68">
        <w:rPr>
          <w:rFonts w:ascii="Cambria" w:hAnsi="Cambria" w:cs="Times New Roman"/>
          <w:highlight w:val="yellow"/>
        </w:rPr>
        <w:t xml:space="preserve">4. Kogukonna vajadustest lähtuvad teenused turutõrkega piirkondades, mille investeeringuid toetatakse 90% abikõlblikest kuludest, tuleb lähtuda  järgmistest tingimustest: </w:t>
      </w:r>
    </w:p>
    <w:p w:rsidR="00993B80" w:rsidRPr="005F4C68" w:rsidRDefault="00993B80" w:rsidP="00B72111">
      <w:pPr>
        <w:spacing w:after="0"/>
        <w:rPr>
          <w:rFonts w:ascii="Cambria" w:hAnsi="Cambria" w:cs="Times New Roman"/>
          <w:highlight w:val="yellow"/>
        </w:rPr>
      </w:pPr>
      <w:r w:rsidRPr="005F4C68">
        <w:rPr>
          <w:rFonts w:ascii="Cambria" w:hAnsi="Cambria" w:cs="Times New Roman"/>
          <w:highlight w:val="yellow"/>
        </w:rPr>
        <w:t>1) Piirkond, kus teenust pakutakse, on mõistliku suurusega;</w:t>
      </w:r>
    </w:p>
    <w:p w:rsidR="00993B80" w:rsidRPr="005F4C68" w:rsidRDefault="00993B80" w:rsidP="00B72111">
      <w:pPr>
        <w:spacing w:after="0"/>
        <w:rPr>
          <w:rFonts w:ascii="Cambria" w:hAnsi="Cambria" w:cs="Times New Roman"/>
          <w:highlight w:val="yellow"/>
        </w:rPr>
      </w:pPr>
      <w:r w:rsidRPr="005F4C68">
        <w:rPr>
          <w:rFonts w:ascii="Cambria" w:hAnsi="Cambria" w:cs="Times New Roman"/>
          <w:highlight w:val="yellow"/>
        </w:rPr>
        <w:t>2) Teenus on kogukonna liikmetele kättesaadav ja kogukonnas on piisavalt teenuse tarbijaid;</w:t>
      </w:r>
    </w:p>
    <w:p w:rsidR="00993B80" w:rsidRPr="005F4C68" w:rsidRDefault="00993B80" w:rsidP="00B72111">
      <w:pPr>
        <w:spacing w:after="0"/>
        <w:rPr>
          <w:rFonts w:ascii="Cambria" w:hAnsi="Cambria" w:cs="Times New Roman"/>
          <w:highlight w:val="yellow"/>
        </w:rPr>
      </w:pPr>
      <w:r w:rsidRPr="005F4C68">
        <w:rPr>
          <w:rFonts w:ascii="Cambria" w:hAnsi="Cambria" w:cs="Times New Roman"/>
          <w:highlight w:val="yellow"/>
        </w:rPr>
        <w:t xml:space="preserve">3) Teenuse pakkuja on piirkonnas tegutsev ettevõtja või MTÜ; </w:t>
      </w:r>
    </w:p>
    <w:p w:rsidR="00993B80" w:rsidRPr="005F4C68" w:rsidRDefault="00993B80" w:rsidP="00B72111">
      <w:pPr>
        <w:spacing w:after="0"/>
        <w:rPr>
          <w:rFonts w:ascii="Cambria" w:hAnsi="Cambria" w:cs="Times New Roman"/>
          <w:highlight w:val="yellow"/>
        </w:rPr>
      </w:pPr>
      <w:r w:rsidRPr="005F4C68">
        <w:rPr>
          <w:rFonts w:ascii="Cambria" w:hAnsi="Cambria" w:cs="Times New Roman"/>
          <w:highlight w:val="yellow"/>
        </w:rPr>
        <w:t>4) Kohalikul omavalitsusel ei ole teenuse pakkumise kohustust;</w:t>
      </w:r>
    </w:p>
    <w:p w:rsidR="00993B80" w:rsidRPr="005F4C68" w:rsidRDefault="00993B80" w:rsidP="00B72111">
      <w:pPr>
        <w:spacing w:after="0"/>
        <w:rPr>
          <w:rFonts w:ascii="Cambria" w:hAnsi="Cambria" w:cs="Times New Roman"/>
          <w:highlight w:val="yellow"/>
        </w:rPr>
      </w:pPr>
      <w:r w:rsidRPr="005F4C68">
        <w:rPr>
          <w:rFonts w:ascii="Cambria" w:hAnsi="Cambria" w:cs="Times New Roman"/>
          <w:highlight w:val="yellow"/>
        </w:rPr>
        <w:t xml:space="preserve">5) Teenus on kasumit mittetaotlev; </w:t>
      </w:r>
    </w:p>
    <w:p w:rsidR="00993B80" w:rsidRPr="005F4C68" w:rsidRDefault="00993B80" w:rsidP="00B72111">
      <w:pPr>
        <w:spacing w:after="0"/>
        <w:rPr>
          <w:rFonts w:ascii="Cambria" w:hAnsi="Cambria" w:cs="Times New Roman"/>
          <w:highlight w:val="yellow"/>
        </w:rPr>
      </w:pPr>
      <w:r w:rsidRPr="005F4C68">
        <w:rPr>
          <w:rFonts w:ascii="Cambria" w:hAnsi="Cambria" w:cs="Times New Roman"/>
          <w:highlight w:val="yellow"/>
        </w:rPr>
        <w:t>6) Teenust ei pakuta avatud turul ja see ei paku kõlvatut konkurentsi piirkonna ettevõtetele;</w:t>
      </w:r>
    </w:p>
    <w:p w:rsidR="00993B80" w:rsidRPr="005F4C68" w:rsidRDefault="00993B80" w:rsidP="00B72111">
      <w:pPr>
        <w:spacing w:after="0"/>
        <w:rPr>
          <w:rFonts w:ascii="Cambria" w:hAnsi="Cambria" w:cs="Times New Roman"/>
          <w:highlight w:val="yellow"/>
        </w:rPr>
      </w:pPr>
      <w:r w:rsidRPr="005F4C68">
        <w:rPr>
          <w:rFonts w:ascii="Cambria" w:hAnsi="Cambria" w:cs="Times New Roman"/>
          <w:highlight w:val="yellow"/>
        </w:rPr>
        <w:t>7) Teenust pakutakse kogukonnale mõõduka hinna eest või tasuta;</w:t>
      </w:r>
    </w:p>
    <w:p w:rsidR="00993B80" w:rsidRPr="001E744C" w:rsidRDefault="00993B80" w:rsidP="00B72111">
      <w:pPr>
        <w:spacing w:after="0"/>
        <w:rPr>
          <w:rFonts w:ascii="Cambria" w:hAnsi="Cambria" w:cs="Times New Roman"/>
        </w:rPr>
      </w:pPr>
      <w:r w:rsidRPr="005F4C68">
        <w:rPr>
          <w:rFonts w:ascii="Cambria" w:hAnsi="Cambria" w:cs="Times New Roman"/>
          <w:highlight w:val="yellow"/>
        </w:rPr>
        <w:t>8) Teenuse pakkumisel kogukonnast väljapoole peab hind vastama turu tasemele.                                                                                                                                                                                              Kogukonnateenuste suunaks on toidukaupade ja esmatarbekaupade kättesaadavuse parandamine.</w:t>
      </w:r>
    </w:p>
    <w:p w:rsidR="00993B80" w:rsidRPr="001E744C" w:rsidRDefault="00993B80" w:rsidP="00B72111">
      <w:pPr>
        <w:spacing w:after="0"/>
        <w:rPr>
          <w:rFonts w:ascii="Cambria" w:hAnsi="Cambria" w:cs="Times New Roman"/>
        </w:rPr>
      </w:pPr>
      <w:r w:rsidRPr="001E744C">
        <w:rPr>
          <w:rFonts w:ascii="Cambria" w:hAnsi="Cambria" w:cs="Times New Roman"/>
        </w:rPr>
        <w:t>5. Projekteerimine ainutegevusena ei ole abikõlblik.</w:t>
      </w:r>
    </w:p>
    <w:p w:rsidR="00993B80" w:rsidRPr="001E744C" w:rsidRDefault="00993B80" w:rsidP="00B72111">
      <w:pPr>
        <w:spacing w:after="0"/>
        <w:rPr>
          <w:rFonts w:ascii="Cambria" w:hAnsi="Cambria" w:cs="Times New Roman"/>
        </w:rPr>
      </w:pPr>
      <w:r w:rsidRPr="001E744C">
        <w:rPr>
          <w:rFonts w:ascii="Cambria" w:hAnsi="Cambria" w:cs="Times New Roman"/>
        </w:rPr>
        <w:t>6.Taotleja võib esitada taotlusvooru ühe projektitaotluse.                                                                                                                                                                                                                                                                        7. Katseprojektide tulemusi prototüüpide loomisel tuleb tutvustada avalikkusele.</w:t>
      </w:r>
    </w:p>
    <w:p w:rsidR="00993B80" w:rsidRPr="001E744C" w:rsidRDefault="00993B80" w:rsidP="004D56C1">
      <w:pPr>
        <w:spacing w:after="0"/>
        <w:rPr>
          <w:rFonts w:ascii="Cambria" w:hAnsi="Cambria" w:cs="Times New Roman"/>
        </w:rPr>
      </w:pPr>
      <w:r w:rsidRPr="001E744C">
        <w:rPr>
          <w:rFonts w:ascii="Cambria" w:hAnsi="Cambria" w:cs="Times New Roman"/>
        </w:rPr>
        <w:t xml:space="preserve">8. </w:t>
      </w:r>
      <w:r w:rsidRPr="00CC5B78">
        <w:rPr>
          <w:rFonts w:ascii="Cambria" w:hAnsi="Cambria" w:cs="Times New Roman"/>
        </w:rPr>
        <w:t xml:space="preserve">Kohalik tegevusgrupp võib rakenduskavas sätestada muid täiendavaid nõudeid.                                                                                                                                                                                                                                    </w:t>
      </w:r>
      <w:r w:rsidRPr="001E744C">
        <w:rPr>
          <w:rFonts w:ascii="Cambria" w:hAnsi="Cambria" w:cs="Times New Roman"/>
        </w:rPr>
        <w:t xml:space="preserve">Lisaks </w:t>
      </w:r>
      <w:proofErr w:type="spellStart"/>
      <w:r w:rsidRPr="001E744C">
        <w:rPr>
          <w:rFonts w:ascii="Cambria" w:hAnsi="Cambria" w:cs="Times New Roman"/>
        </w:rPr>
        <w:t>Leader</w:t>
      </w:r>
      <w:proofErr w:type="spellEnd"/>
      <w:r w:rsidRPr="001E744C">
        <w:rPr>
          <w:rFonts w:ascii="Cambria" w:hAnsi="Cambria" w:cs="Times New Roman"/>
        </w:rPr>
        <w:t xml:space="preserve"> määruse § 37 nõutud dokumentidele peab Taotluse esitamisel projektitaotleja esitama järgmised dokumendid:</w:t>
      </w:r>
      <w:r w:rsidRPr="00363D6E">
        <w:rPr>
          <w:rFonts w:ascii="Cambria" w:hAnsi="Cambria" w:cs="Times New Roman"/>
          <w:strike/>
          <w:color w:val="FF0000"/>
        </w:rPr>
        <w:t xml:space="preserve">                                                                                                                                                                                                                                         </w:t>
      </w:r>
      <w:r w:rsidR="00B71A97">
        <w:rPr>
          <w:rFonts w:ascii="Cambria" w:hAnsi="Cambria" w:cs="Times New Roman"/>
        </w:rPr>
        <w:t>1</w:t>
      </w:r>
      <w:r w:rsidRPr="001E744C">
        <w:rPr>
          <w:rFonts w:ascii="Cambria" w:hAnsi="Cambria" w:cs="Times New Roman"/>
        </w:rPr>
        <w:t>. Hinnapakkumus (hinnapakkumused).</w:t>
      </w:r>
    </w:p>
    <w:p w:rsidR="00993B80" w:rsidRPr="001E744C" w:rsidRDefault="00B71A97" w:rsidP="00B72111">
      <w:pPr>
        <w:spacing w:after="0"/>
        <w:rPr>
          <w:rFonts w:ascii="Cambria" w:hAnsi="Cambria" w:cs="Times New Roman"/>
        </w:rPr>
      </w:pPr>
      <w:r>
        <w:rPr>
          <w:rFonts w:ascii="Cambria" w:hAnsi="Cambria" w:cs="Times New Roman"/>
        </w:rPr>
        <w:t>2</w:t>
      </w:r>
      <w:r w:rsidR="00993B80" w:rsidRPr="001E744C">
        <w:rPr>
          <w:rFonts w:ascii="Cambria" w:hAnsi="Cambria" w:cs="Times New Roman"/>
        </w:rPr>
        <w:t>. Pakkumuskutse (pakkumuskutsed).</w:t>
      </w:r>
    </w:p>
    <w:p w:rsidR="00B72111" w:rsidRPr="001E744C" w:rsidRDefault="00B71A97" w:rsidP="00B72111">
      <w:pPr>
        <w:spacing w:after="0"/>
        <w:rPr>
          <w:rFonts w:ascii="Cambria" w:hAnsi="Cambria" w:cs="Times New Roman"/>
        </w:rPr>
      </w:pPr>
      <w:r>
        <w:rPr>
          <w:rFonts w:ascii="Cambria" w:hAnsi="Cambria" w:cs="Times New Roman"/>
        </w:rPr>
        <w:t>3</w:t>
      </w:r>
      <w:r w:rsidR="00993B80" w:rsidRPr="001E744C">
        <w:rPr>
          <w:rFonts w:ascii="Cambria" w:hAnsi="Cambria" w:cs="Times New Roman"/>
        </w:rPr>
        <w:t xml:space="preserve">. Sihtasutuse asutajate ja mitte varasema kui taotluse esitamisele vahetult eelnenud  kuu esimese kuupäeva seisuga nõukogu liikmete nimekiri;                                                                                  </w:t>
      </w:r>
    </w:p>
    <w:p w:rsidR="00B72111" w:rsidRPr="001E744C" w:rsidRDefault="00B71A97" w:rsidP="00B72111">
      <w:pPr>
        <w:spacing w:after="0"/>
        <w:rPr>
          <w:rFonts w:ascii="Cambria" w:hAnsi="Cambria" w:cs="Times New Roman"/>
        </w:rPr>
      </w:pPr>
      <w:r>
        <w:rPr>
          <w:rFonts w:ascii="Cambria" w:hAnsi="Cambria" w:cs="Times New Roman"/>
        </w:rPr>
        <w:t>4</w:t>
      </w:r>
      <w:r w:rsidR="00993B80" w:rsidRPr="001E744C">
        <w:rPr>
          <w:rFonts w:ascii="Cambria" w:hAnsi="Cambria" w:cs="Times New Roman"/>
        </w:rPr>
        <w:t xml:space="preserve">. Toetatava tegevuse või investeeringu eesmärkide kirjeldus PLPK hindamiskriteeriumite lõikes, maksimaalselt kuni kaks A4 lehekülge.                                                                         </w:t>
      </w:r>
    </w:p>
    <w:p w:rsidR="00993B80" w:rsidRPr="001E744C" w:rsidRDefault="00B71A97" w:rsidP="00B72111">
      <w:pPr>
        <w:spacing w:after="0"/>
        <w:rPr>
          <w:rFonts w:ascii="Cambria" w:hAnsi="Cambria" w:cs="Times New Roman"/>
        </w:rPr>
      </w:pPr>
      <w:r>
        <w:rPr>
          <w:rFonts w:ascii="Cambria" w:hAnsi="Cambria" w:cs="Times New Roman"/>
        </w:rPr>
        <w:t>5</w:t>
      </w:r>
      <w:r w:rsidR="00993B80" w:rsidRPr="001E744C">
        <w:rPr>
          <w:rFonts w:ascii="Cambria" w:hAnsi="Cambria" w:cs="Times New Roman"/>
        </w:rPr>
        <w:t xml:space="preserve">. Äriühingu puhul taotluse esitamise aastale vahetult eelnenud majandusaasta kinnitatud majandusaastaaruande või kontserni puhul taotluse esitamise aastale vahetult eelnenud majandusaasta konsolideeritud aruande ärakiri ja </w:t>
      </w:r>
      <w:proofErr w:type="spellStart"/>
      <w:r w:rsidR="00993B80" w:rsidRPr="001E744C">
        <w:rPr>
          <w:rFonts w:ascii="Cambria" w:hAnsi="Cambria" w:cs="Times New Roman"/>
        </w:rPr>
        <w:t>FIE-l</w:t>
      </w:r>
      <w:proofErr w:type="spellEnd"/>
      <w:r w:rsidR="00993B80" w:rsidRPr="001E744C">
        <w:rPr>
          <w:rFonts w:ascii="Cambria" w:hAnsi="Cambria" w:cs="Times New Roman"/>
        </w:rPr>
        <w:t xml:space="preserve"> Eesti Maksu ja tolliametile esitatud tuludeklaratsiooni E-vorm.</w:t>
      </w:r>
    </w:p>
    <w:p w:rsidR="005F02EA" w:rsidRPr="00614149" w:rsidRDefault="00B71A97" w:rsidP="005F02EA">
      <w:pPr>
        <w:spacing w:after="240" w:line="240" w:lineRule="auto"/>
        <w:rPr>
          <w:rFonts w:ascii="Cambria" w:eastAsia="Times New Roman" w:hAnsi="Cambria" w:cs="Times New Roman"/>
          <w:lang w:eastAsia="et-EE"/>
        </w:rPr>
      </w:pPr>
      <w:r>
        <w:rPr>
          <w:rFonts w:ascii="Cambria" w:eastAsia="Times New Roman" w:hAnsi="Cambria" w:cs="Times New Roman"/>
          <w:lang w:eastAsia="et-EE"/>
        </w:rPr>
        <w:t>6</w:t>
      </w:r>
      <w:r w:rsidR="005F02EA" w:rsidRPr="00614149">
        <w:rPr>
          <w:rFonts w:ascii="Cambria" w:eastAsia="Times New Roman" w:hAnsi="Cambria" w:cs="Times New Roman"/>
          <w:lang w:eastAsia="et-EE"/>
        </w:rPr>
        <w:t xml:space="preserve">. MTÜ, SA esitab mitte varasema kui taotluse esitamisele vahetult eelnenud kuu esimese kuupäeva seisuga  liikmete nimekirja, v.a usulised ühendused.                                                                                                                                                                                                         </w:t>
      </w:r>
      <w:r>
        <w:rPr>
          <w:rFonts w:ascii="Cambria" w:eastAsia="Times New Roman" w:hAnsi="Cambria" w:cs="Times New Roman"/>
          <w:lang w:eastAsia="et-EE"/>
        </w:rPr>
        <w:t>7</w:t>
      </w:r>
      <w:r w:rsidR="005F02EA" w:rsidRPr="00614149">
        <w:rPr>
          <w:rFonts w:ascii="Cambria" w:eastAsia="Times New Roman" w:hAnsi="Cambria" w:cs="Times New Roman"/>
          <w:lang w:eastAsia="et-EE"/>
        </w:rPr>
        <w:t>. MTÜ, SA esita</w:t>
      </w:r>
      <w:r w:rsidR="005C29F5">
        <w:rPr>
          <w:rFonts w:ascii="Cambria" w:eastAsia="Times New Roman" w:hAnsi="Cambria" w:cs="Times New Roman"/>
          <w:lang w:eastAsia="et-EE"/>
        </w:rPr>
        <w:t>b</w:t>
      </w:r>
      <w:r w:rsidR="005F02EA" w:rsidRPr="00614149">
        <w:rPr>
          <w:rFonts w:ascii="Cambria" w:eastAsia="Times New Roman" w:hAnsi="Cambria" w:cs="Times New Roman"/>
          <w:lang w:eastAsia="et-EE"/>
        </w:rPr>
        <w:t xml:space="preserve"> eelmise majandusaasta tulude päritolu jaotuse, ja kalendriaasta tulu prognoosi, millest nähtub avaliku sektori (riigi, kohaliku omavalitsuse või nende ühenduse, muu avalik-õigusliku juriidilise isiku) toetuse osakaal.</w:t>
      </w:r>
    </w:p>
    <w:p w:rsidR="00993B80" w:rsidRPr="00614149" w:rsidRDefault="004173F9" w:rsidP="005A5B37">
      <w:pPr>
        <w:spacing w:after="0"/>
        <w:rPr>
          <w:rFonts w:ascii="Cambria" w:hAnsi="Cambria" w:cs="Times New Roman"/>
          <w:b/>
        </w:rPr>
      </w:pPr>
      <w:r w:rsidRPr="00614149">
        <w:rPr>
          <w:rFonts w:ascii="Cambria" w:hAnsi="Cambria" w:cs="Times New Roman"/>
          <w:b/>
        </w:rPr>
        <w:t>6. Toetuse maksimaalne suurus ja määr</w:t>
      </w:r>
    </w:p>
    <w:p w:rsidR="0027794F" w:rsidRPr="001E744C" w:rsidRDefault="0068496C" w:rsidP="005A5B37">
      <w:pPr>
        <w:spacing w:after="0"/>
        <w:rPr>
          <w:rFonts w:ascii="Cambria" w:hAnsi="Cambria" w:cs="Times New Roman"/>
        </w:rPr>
      </w:pPr>
      <w:r w:rsidRPr="00614149">
        <w:rPr>
          <w:rFonts w:ascii="Cambria" w:hAnsi="Cambria" w:cs="Times New Roman"/>
        </w:rPr>
        <w:t>1. Euroopa Liidu vahendite kasutamise põhimõtetest tulenevalt ei rahastata püsikulusid.</w:t>
      </w:r>
      <w:r w:rsidRPr="00614149">
        <w:rPr>
          <w:rFonts w:ascii="Cambria" w:hAnsi="Cambria" w:cs="Times New Roman"/>
        </w:rPr>
        <w:br/>
        <w:t xml:space="preserve">2. Toetust antakse taotlejale kuni 60 protsenti toetavate tegevuste abikõlblike kulude maksumusest, võttes lisaks arvesse kõiki riigiabi reeglitest tulenevaid piiranguid. </w:t>
      </w:r>
      <w:r w:rsidRPr="00614149">
        <w:rPr>
          <w:rFonts w:ascii="Cambria" w:hAnsi="Cambria" w:cs="Times New Roman"/>
        </w:rPr>
        <w:br/>
      </w:r>
      <w:r w:rsidRPr="005F4C68">
        <w:rPr>
          <w:rFonts w:ascii="Cambria" w:hAnsi="Cambria" w:cs="Times New Roman"/>
          <w:highlight w:val="yellow"/>
        </w:rPr>
        <w:t>3. Kogukonnateenuse arendamiseks antakse projektitoetust kuni 90 protsenti investeeringu abikõlblikest kuludest, kui projektitaotlus on vastu võetud kohaliku tegevusgrupi üldkoosoleku otsusega.</w:t>
      </w:r>
      <w:r w:rsidRPr="00614149">
        <w:rPr>
          <w:rFonts w:ascii="Cambria" w:hAnsi="Cambria" w:cs="Times New Roman"/>
        </w:rPr>
        <w:t xml:space="preserve"> </w:t>
      </w:r>
      <w:r w:rsidRPr="00614149">
        <w:rPr>
          <w:rFonts w:ascii="Cambria" w:hAnsi="Cambria" w:cs="Times New Roman"/>
        </w:rPr>
        <w:br/>
        <w:t xml:space="preserve">4. Maksimaalne projektitoetus perioodil 2014-2020 taotleja kohta kokku 200 000 eurot, ühes taotlusvoorus maksimaalne projektitoetus </w:t>
      </w:r>
      <w:r w:rsidR="0029534E" w:rsidRPr="00965DA7">
        <w:rPr>
          <w:rFonts w:ascii="Cambria" w:hAnsi="Cambria" w:cs="Times New Roman"/>
          <w:color w:val="FF0000"/>
          <w:highlight w:val="yellow"/>
        </w:rPr>
        <w:t>1</w:t>
      </w:r>
      <w:r w:rsidRPr="00965DA7">
        <w:rPr>
          <w:rFonts w:ascii="Cambria" w:hAnsi="Cambria" w:cs="Times New Roman"/>
          <w:color w:val="FF0000"/>
          <w:highlight w:val="yellow"/>
        </w:rPr>
        <w:t xml:space="preserve">0 000 </w:t>
      </w:r>
      <w:r w:rsidRPr="00965DA7">
        <w:rPr>
          <w:rFonts w:ascii="Cambria" w:hAnsi="Cambria" w:cs="Times New Roman"/>
          <w:highlight w:val="yellow"/>
        </w:rPr>
        <w:t>eurot</w:t>
      </w:r>
      <w:r w:rsidRPr="00614149">
        <w:rPr>
          <w:rFonts w:ascii="Cambria" w:hAnsi="Cambria" w:cs="Times New Roman"/>
        </w:rPr>
        <w:t xml:space="preserve"> ja minimaalne </w:t>
      </w:r>
      <w:r w:rsidR="0029534E" w:rsidRPr="00965DA7">
        <w:rPr>
          <w:rFonts w:ascii="Cambria" w:hAnsi="Cambria" w:cs="Times New Roman"/>
          <w:color w:val="FF0000"/>
          <w:highlight w:val="yellow"/>
        </w:rPr>
        <w:t>1</w:t>
      </w:r>
      <w:r w:rsidRPr="00965DA7">
        <w:rPr>
          <w:rFonts w:ascii="Cambria" w:hAnsi="Cambria" w:cs="Times New Roman"/>
          <w:color w:val="FF0000"/>
          <w:highlight w:val="yellow"/>
        </w:rPr>
        <w:t>000</w:t>
      </w:r>
      <w:r w:rsidRPr="00965DA7">
        <w:rPr>
          <w:rFonts w:ascii="Cambria" w:hAnsi="Cambria" w:cs="Times New Roman"/>
          <w:highlight w:val="yellow"/>
        </w:rPr>
        <w:t xml:space="preserve"> eurot,</w:t>
      </w:r>
      <w:r w:rsidRPr="00614149">
        <w:rPr>
          <w:rFonts w:ascii="Cambria" w:hAnsi="Cambria" w:cs="Times New Roman"/>
        </w:rPr>
        <w:t xml:space="preserve"> võttes lisaks arvesse PLPK jooksva aasta rakenduskava ja kõiki riigiabi reeglitest tulenevaid piiranguid. </w:t>
      </w:r>
      <w:r w:rsidRPr="00614149">
        <w:rPr>
          <w:rFonts w:ascii="Cambria" w:hAnsi="Cambria" w:cs="Times New Roman"/>
        </w:rPr>
        <w:br/>
        <w:t xml:space="preserve">5. Kulude abikõlblikkus ja mitterahaline omafinantseering on reguleeritud projektitaotluse </w:t>
      </w:r>
      <w:r w:rsidRPr="001E744C">
        <w:rPr>
          <w:rFonts w:ascii="Cambria" w:hAnsi="Cambria" w:cs="Times New Roman"/>
        </w:rPr>
        <w:t>esitamise hetkel kehtivas maael</w:t>
      </w:r>
      <w:r w:rsidR="009B7A7C" w:rsidRPr="001E744C">
        <w:rPr>
          <w:rFonts w:ascii="Cambria" w:hAnsi="Cambria" w:cs="Times New Roman"/>
        </w:rPr>
        <w:t xml:space="preserve">uministeeriumi </w:t>
      </w:r>
      <w:proofErr w:type="spellStart"/>
      <w:r w:rsidR="009B7A7C" w:rsidRPr="001E744C">
        <w:rPr>
          <w:rFonts w:ascii="Cambria" w:hAnsi="Cambria" w:cs="Times New Roman"/>
        </w:rPr>
        <w:t>Leader</w:t>
      </w:r>
      <w:proofErr w:type="spellEnd"/>
      <w:r w:rsidR="009B7A7C" w:rsidRPr="001E744C">
        <w:rPr>
          <w:rFonts w:ascii="Cambria" w:hAnsi="Cambria" w:cs="Times New Roman"/>
        </w:rPr>
        <w:t xml:space="preserve"> määruses, </w:t>
      </w:r>
      <w:r w:rsidR="009B7A7C" w:rsidRPr="00E37A04">
        <w:rPr>
          <w:rFonts w:ascii="Cambria" w:hAnsi="Cambria" w:cs="Times New Roman"/>
        </w:rPr>
        <w:t>h</w:t>
      </w:r>
      <w:r w:rsidRPr="00E37A04">
        <w:rPr>
          <w:rFonts w:ascii="Cambria" w:hAnsi="Cambria" w:cs="Times New Roman"/>
        </w:rPr>
        <w:t>ttp://www.pria.ee/et/toetused/valdkond/leader/</w:t>
      </w:r>
      <w:r w:rsidRPr="00E37A04">
        <w:rPr>
          <w:rFonts w:ascii="Cambria" w:hAnsi="Cambria" w:cs="Times New Roman"/>
        </w:rPr>
        <w:br/>
      </w:r>
      <w:r w:rsidRPr="001E744C">
        <w:rPr>
          <w:rFonts w:ascii="Cambria" w:hAnsi="Cambria" w:cs="Times New Roman"/>
        </w:rPr>
        <w:t xml:space="preserve">6. Kulud peavad olema selgelt põhjendatud, üksikasjalikult kirjeldatud, majanduslikult otstarbekad ja vajalikud eesmärgi saavutamiseks.                                                                                                                                                                                                                      7. </w:t>
      </w:r>
      <w:r w:rsidRPr="0029534E">
        <w:rPr>
          <w:rFonts w:ascii="Cambria" w:hAnsi="Cambria" w:cs="Times New Roman"/>
          <w:highlight w:val="yellow"/>
        </w:rPr>
        <w:t>Maksimaalset projektitoetust kuni 200 000 eurot rakendatakse kohaliku tooraine töötlemise vähemalt 10 ettevõtja ühisprojektile, mis annab toormele võimalikult suure lisandväärtuse ja on kirjeldatud arvestatavad turustuskanalid.</w:t>
      </w:r>
      <w:r w:rsidRPr="001E744C">
        <w:rPr>
          <w:rFonts w:ascii="Cambria" w:hAnsi="Cambria" w:cs="Times New Roman"/>
        </w:rPr>
        <w:t xml:space="preserve">                                                                                                                                                                        8. Ehitusinvesteeringute korral teostatakse paikvaatlust.        </w:t>
      </w:r>
    </w:p>
    <w:p w:rsidR="00616354" w:rsidRDefault="00616354" w:rsidP="005A5B37">
      <w:pPr>
        <w:spacing w:after="0"/>
        <w:rPr>
          <w:rFonts w:ascii="Cambria" w:hAnsi="Cambria" w:cs="Times New Roman"/>
          <w:b/>
        </w:rPr>
      </w:pPr>
    </w:p>
    <w:p w:rsidR="003F4BEE" w:rsidRPr="001E744C" w:rsidRDefault="0027794F" w:rsidP="005A5B37">
      <w:pPr>
        <w:spacing w:after="0"/>
        <w:rPr>
          <w:rFonts w:ascii="Cambria" w:hAnsi="Cambria" w:cs="Times New Roman"/>
          <w:b/>
        </w:rPr>
      </w:pPr>
      <w:r w:rsidRPr="001E744C">
        <w:rPr>
          <w:rFonts w:ascii="Cambria" w:hAnsi="Cambria" w:cs="Times New Roman"/>
          <w:b/>
        </w:rPr>
        <w:t xml:space="preserve">7. Viide sihtvaldkonnale </w:t>
      </w:r>
      <w:r w:rsidR="0068496C" w:rsidRPr="001E744C">
        <w:rPr>
          <w:rFonts w:ascii="Cambria" w:hAnsi="Cambria" w:cs="Times New Roman"/>
          <w:b/>
        </w:rPr>
        <w:t xml:space="preserve">                  </w:t>
      </w:r>
    </w:p>
    <w:p w:rsidR="003F4BEE" w:rsidRPr="001E744C" w:rsidRDefault="003F4BEE" w:rsidP="005A5B37">
      <w:pPr>
        <w:spacing w:after="0"/>
        <w:rPr>
          <w:rFonts w:ascii="Cambria" w:hAnsi="Cambria" w:cs="Times New Roman"/>
        </w:rPr>
      </w:pPr>
      <w:r w:rsidRPr="001E744C">
        <w:rPr>
          <w:rFonts w:ascii="Cambria" w:hAnsi="Cambria" w:cs="Times New Roman"/>
          <w:i/>
        </w:rPr>
        <w:t>Peamine sihtvaldkond</w:t>
      </w:r>
      <w:r w:rsidRPr="001E744C">
        <w:rPr>
          <w:rFonts w:ascii="Cambria" w:hAnsi="Cambria" w:cs="Times New Roman"/>
        </w:rPr>
        <w:t xml:space="preserve">: 6A tegevusvaldkondade mitmekesistamine, uute väikeettevõtete ja töökohtade loomise hõlbustamine.                                                                                                                                                                                    </w:t>
      </w:r>
      <w:r w:rsidRPr="001E744C">
        <w:rPr>
          <w:rFonts w:ascii="Cambria" w:hAnsi="Cambria" w:cs="Times New Roman"/>
          <w:i/>
        </w:rPr>
        <w:t>Kaasnevad sihtvaldkonnad</w:t>
      </w:r>
      <w:r w:rsidRPr="001E744C">
        <w:rPr>
          <w:rFonts w:ascii="Cambria" w:hAnsi="Cambria" w:cs="Times New Roman"/>
        </w:rPr>
        <w:t xml:space="preserve">: 6B maapiirkondade kohaliku arengu soodustamine; 1A innovatsiooni ja koostöö toetamine ning teadmiste baasi arendamine maapiirkondades; 3A toormetootjate parem integreerimine toiduahelasse; 5B… /energiakasutuse tõhustamine/.. ja 5C taastuvate energiaallikate, kõrvalsaaduste, jäätmete ja muude toiduks mittekasutatavate toorainete pakkumise ja kasutamise hõlbustamine </w:t>
      </w:r>
      <w:proofErr w:type="spellStart"/>
      <w:r w:rsidRPr="001E744C">
        <w:rPr>
          <w:rFonts w:ascii="Cambria" w:hAnsi="Cambria" w:cs="Times New Roman"/>
        </w:rPr>
        <w:t>biomajanduse</w:t>
      </w:r>
      <w:proofErr w:type="spellEnd"/>
      <w:r w:rsidRPr="001E744C">
        <w:rPr>
          <w:rFonts w:ascii="Cambria" w:hAnsi="Cambria" w:cs="Times New Roman"/>
        </w:rPr>
        <w:t xml:space="preserve"> edendamise eesmärgil. </w:t>
      </w:r>
    </w:p>
    <w:p w:rsidR="005A5B37" w:rsidRPr="001E744C" w:rsidRDefault="005A5B37" w:rsidP="005A5B37">
      <w:pPr>
        <w:spacing w:after="0"/>
        <w:rPr>
          <w:rFonts w:ascii="Cambria" w:hAnsi="Cambria" w:cs="Times New Roman"/>
          <w:b/>
        </w:rPr>
      </w:pPr>
    </w:p>
    <w:p w:rsidR="00594440" w:rsidRPr="001E744C" w:rsidRDefault="00594440" w:rsidP="005A5B37">
      <w:pPr>
        <w:spacing w:after="0"/>
        <w:rPr>
          <w:rFonts w:ascii="Cambria" w:hAnsi="Cambria" w:cs="Times New Roman"/>
          <w:b/>
        </w:rPr>
      </w:pPr>
      <w:r w:rsidRPr="001E744C">
        <w:rPr>
          <w:rFonts w:ascii="Cambria" w:hAnsi="Cambria" w:cs="Times New Roman"/>
          <w:b/>
        </w:rPr>
        <w:t>8. Euroopa Parlamendi ja nõukogu määruse (EL) nr 1305/2013 artiklis 5 nimetatud prioriteedid, mille eesmärkide saavutamisele strateegia meetme rakendamine enim kaasa aitab</w:t>
      </w:r>
      <w:r w:rsidR="0029534E" w:rsidRPr="005327E6">
        <w:rPr>
          <w:rFonts w:ascii="Cambria" w:eastAsia="Times New Roman" w:hAnsi="Cambria" w:cs="Times New Roman"/>
          <w:color w:val="000000"/>
          <w:sz w:val="16"/>
          <w:szCs w:val="16"/>
          <w:vertAlign w:val="superscript"/>
          <w:lang w:eastAsia="et-EE"/>
        </w:rPr>
        <w:t>3</w:t>
      </w:r>
    </w:p>
    <w:p w:rsidR="00A17BD0" w:rsidRPr="001E744C" w:rsidRDefault="00A17BD0" w:rsidP="005A5B37">
      <w:pPr>
        <w:spacing w:after="0"/>
        <w:rPr>
          <w:rFonts w:ascii="Cambria" w:hAnsi="Cambria" w:cs="Times New Roman"/>
        </w:rPr>
      </w:pPr>
      <w:r w:rsidRPr="001E744C">
        <w:rPr>
          <w:rFonts w:ascii="Cambria" w:hAnsi="Cambria" w:cs="Times New Roman"/>
        </w:rPr>
        <w:t xml:space="preserve">1 Teadmussiire ja innovatsiooni parandamine maapiirkonnas; 3 Toiduahela korraldamise edendamine; 5 ressursitõhususe edendamine; 6 Sotsiaalse kaasamise, vaesuse vähendamise ja maapiirkondade majandusliku arengu edendamine; Meetme tegevused tuginevad Euroopa parlamendi ja nõukogu määrusele (EL) nr 1303/2013, EL määrusele 1305/2013 artiklid: 14, 17, 19, 20, 35, 44. </w:t>
      </w:r>
    </w:p>
    <w:p w:rsidR="005A5B37" w:rsidRPr="001E744C" w:rsidRDefault="005A5B37" w:rsidP="007D47EB">
      <w:pPr>
        <w:spacing w:after="0"/>
        <w:rPr>
          <w:rFonts w:ascii="Cambria" w:hAnsi="Cambria" w:cs="Times New Roman"/>
          <w:b/>
        </w:rPr>
      </w:pPr>
    </w:p>
    <w:p w:rsidR="00A17BD0" w:rsidRPr="001E744C" w:rsidRDefault="00286C09" w:rsidP="007D47EB">
      <w:pPr>
        <w:spacing w:after="0"/>
        <w:rPr>
          <w:rFonts w:ascii="Cambria" w:hAnsi="Cambria" w:cs="Times New Roman"/>
          <w:b/>
        </w:rPr>
      </w:pPr>
      <w:r w:rsidRPr="001E744C">
        <w:rPr>
          <w:rFonts w:ascii="Cambria" w:hAnsi="Cambria" w:cs="Times New Roman"/>
          <w:b/>
        </w:rPr>
        <w:t>9. Viide arengukava meetmele, kui strateegia meede sellega kattub</w:t>
      </w:r>
    </w:p>
    <w:p w:rsidR="00143D3D" w:rsidRPr="001E744C" w:rsidRDefault="00143D3D" w:rsidP="007D47EB">
      <w:pPr>
        <w:spacing w:after="0"/>
        <w:rPr>
          <w:rFonts w:ascii="Cambria" w:hAnsi="Cambria" w:cs="Times New Roman"/>
        </w:rPr>
      </w:pPr>
      <w:r w:rsidRPr="001E744C">
        <w:rPr>
          <w:rFonts w:ascii="Cambria" w:hAnsi="Cambria" w:cs="Times New Roman"/>
        </w:rPr>
        <w:t>Ei kattu Eesti Maaelu arengukava 2014-2020 meetmetega.</w:t>
      </w:r>
    </w:p>
    <w:p w:rsidR="000218A4" w:rsidRPr="001E744C" w:rsidRDefault="000218A4" w:rsidP="007D47EB">
      <w:pPr>
        <w:spacing w:after="0"/>
        <w:rPr>
          <w:rFonts w:ascii="Cambria" w:hAnsi="Cambria" w:cs="Times New Roman"/>
        </w:rPr>
      </w:pPr>
    </w:p>
    <w:p w:rsidR="00143D3D" w:rsidRPr="001E744C" w:rsidRDefault="000218A4" w:rsidP="007D47EB">
      <w:pPr>
        <w:spacing w:after="0"/>
        <w:rPr>
          <w:rFonts w:ascii="Cambria" w:hAnsi="Cambria" w:cs="Times New Roman"/>
          <w:b/>
        </w:rPr>
      </w:pPr>
      <w:r w:rsidRPr="001E744C">
        <w:rPr>
          <w:rFonts w:ascii="Cambria" w:hAnsi="Cambria" w:cs="Times New Roman"/>
          <w:b/>
        </w:rPr>
        <w:t>10. Strateegia meetme indikaatorid ja sihttasemed</w:t>
      </w:r>
    </w:p>
    <w:p w:rsidR="00765B60" w:rsidRPr="001E744C" w:rsidRDefault="00765B60" w:rsidP="007D47EB">
      <w:pPr>
        <w:spacing w:after="0"/>
        <w:rPr>
          <w:rFonts w:ascii="Cambria" w:hAnsi="Cambria" w:cs="Times New Roman"/>
        </w:rPr>
      </w:pPr>
      <w:r w:rsidRPr="001E744C">
        <w:rPr>
          <w:rFonts w:ascii="Cambria" w:hAnsi="Cambria" w:cs="Times New Roman"/>
        </w:rPr>
        <w:t xml:space="preserve">Väljundindikaatorid: </w:t>
      </w:r>
      <w:r w:rsidRPr="001E744C">
        <w:rPr>
          <w:rFonts w:ascii="Cambria" w:hAnsi="Cambria" w:cs="Times New Roman"/>
        </w:rPr>
        <w:br/>
        <w:t>1. Ettevõtlusele suunatud projektide arv.</w:t>
      </w:r>
      <w:r w:rsidRPr="001E744C">
        <w:rPr>
          <w:rFonts w:ascii="Cambria" w:hAnsi="Cambria" w:cs="Times New Roman"/>
        </w:rPr>
        <w:br/>
        <w:t>2. Ettevõtlusele suunatud projektide toetussumma.</w:t>
      </w:r>
      <w:r w:rsidRPr="001E744C">
        <w:rPr>
          <w:rFonts w:ascii="Cambria" w:hAnsi="Cambria" w:cs="Times New Roman"/>
        </w:rPr>
        <w:br/>
        <w:t>3. Ettevõtlusele suunatud projektide kogusumma.</w:t>
      </w:r>
      <w:r w:rsidRPr="001E744C">
        <w:rPr>
          <w:rFonts w:ascii="Cambria" w:hAnsi="Cambria" w:cs="Times New Roman"/>
        </w:rPr>
        <w:br/>
        <w:t>4. Ettevõtluse ühisprojektide arv.</w:t>
      </w:r>
      <w:r w:rsidRPr="001E744C">
        <w:rPr>
          <w:rFonts w:ascii="Cambria" w:hAnsi="Cambria" w:cs="Times New Roman"/>
        </w:rPr>
        <w:br/>
        <w:t>5. Ettevõtluse ühisprojektide toetussumma.</w:t>
      </w:r>
      <w:r w:rsidRPr="001E744C">
        <w:rPr>
          <w:rFonts w:ascii="Cambria" w:hAnsi="Cambria" w:cs="Times New Roman"/>
        </w:rPr>
        <w:br/>
        <w:t xml:space="preserve">6. Ettevõtluse ühisprojektide kogusumma. </w:t>
      </w:r>
      <w:r w:rsidRPr="001E744C">
        <w:rPr>
          <w:rFonts w:ascii="Cambria" w:hAnsi="Cambria" w:cs="Times New Roman"/>
        </w:rPr>
        <w:br/>
        <w:t>7. Kohalike ressursside, sh kohalik toit töötlemisel lisandväärtust andnud projektide arv.</w:t>
      </w:r>
      <w:r w:rsidRPr="001E744C">
        <w:rPr>
          <w:rFonts w:ascii="Cambria" w:hAnsi="Cambria" w:cs="Times New Roman"/>
        </w:rPr>
        <w:br/>
        <w:t>8. Kohalike ressursside, sh kohalik toit töötlemisel lisandväärtust andnud projektide toetussumma.</w:t>
      </w:r>
      <w:r w:rsidRPr="001E744C">
        <w:rPr>
          <w:rFonts w:ascii="Cambria" w:hAnsi="Cambria" w:cs="Times New Roman"/>
        </w:rPr>
        <w:br/>
        <w:t>9. Noorte ettevõtjate projektitoetuste arv.</w:t>
      </w:r>
      <w:r w:rsidRPr="001E744C">
        <w:rPr>
          <w:rFonts w:ascii="Cambria" w:hAnsi="Cambria" w:cs="Times New Roman"/>
        </w:rPr>
        <w:br/>
        <w:t>Tulemusindikaatorid:</w:t>
      </w:r>
      <w:r w:rsidRPr="001E744C">
        <w:rPr>
          <w:rFonts w:ascii="Cambria" w:hAnsi="Cambria" w:cs="Times New Roman"/>
        </w:rPr>
        <w:br/>
        <w:t>1. Projektide tulemusena loodud uued töökohad (vähemalt 30).</w:t>
      </w:r>
      <w:r w:rsidRPr="001E744C">
        <w:rPr>
          <w:rFonts w:ascii="Cambria" w:hAnsi="Cambria" w:cs="Times New Roman"/>
        </w:rPr>
        <w:br/>
        <w:t>2. Noorte (kuni 40-aastaste) ettevõtjate poolt teostatud projektide arv (vähemalt 18).</w:t>
      </w:r>
      <w:r w:rsidRPr="001E744C">
        <w:rPr>
          <w:rFonts w:ascii="Cambria" w:hAnsi="Cambria" w:cs="Times New Roman"/>
        </w:rPr>
        <w:br/>
        <w:t xml:space="preserve">3. Ettevõtjate koostöös teostatud töötlemise, </w:t>
      </w:r>
      <w:proofErr w:type="spellStart"/>
      <w:r w:rsidRPr="001E744C">
        <w:rPr>
          <w:rFonts w:ascii="Cambria" w:hAnsi="Cambria" w:cs="Times New Roman"/>
        </w:rPr>
        <w:t>turundamise</w:t>
      </w:r>
      <w:proofErr w:type="spellEnd"/>
      <w:r w:rsidRPr="001E744C">
        <w:rPr>
          <w:rFonts w:ascii="Cambria" w:hAnsi="Cambria" w:cs="Times New Roman"/>
        </w:rPr>
        <w:t xml:space="preserve"> ühisprojektide arv (kuni kolm).</w:t>
      </w:r>
      <w:r w:rsidRPr="001E744C">
        <w:rPr>
          <w:rFonts w:ascii="Cambria" w:hAnsi="Cambria" w:cs="Times New Roman"/>
        </w:rPr>
        <w:br/>
        <w:t>4. Uuenduslikke tooteid, teenuseid loonud projektide arv (vähemalt 14).</w:t>
      </w:r>
      <w:r w:rsidRPr="001E744C">
        <w:rPr>
          <w:rFonts w:ascii="Cambria" w:hAnsi="Cambria" w:cs="Times New Roman"/>
        </w:rPr>
        <w:br/>
        <w:t xml:space="preserve">5. </w:t>
      </w:r>
      <w:proofErr w:type="spellStart"/>
      <w:r w:rsidRPr="001E744C">
        <w:rPr>
          <w:rFonts w:ascii="Cambria" w:hAnsi="Cambria" w:cs="Times New Roman"/>
        </w:rPr>
        <w:t>Leader</w:t>
      </w:r>
      <w:proofErr w:type="spellEnd"/>
      <w:r w:rsidRPr="001E744C">
        <w:rPr>
          <w:rFonts w:ascii="Cambria" w:hAnsi="Cambria" w:cs="Times New Roman"/>
        </w:rPr>
        <w:t xml:space="preserve"> meetmest esmataotlejate arv (vähemalt 20). </w:t>
      </w:r>
      <w:r w:rsidRPr="001E744C">
        <w:rPr>
          <w:rFonts w:ascii="Cambria" w:hAnsi="Cambria" w:cs="Times New Roman"/>
        </w:rPr>
        <w:br/>
        <w:t>Mõjuindikaatorid:</w:t>
      </w:r>
      <w:r w:rsidRPr="001E744C">
        <w:rPr>
          <w:rFonts w:ascii="Cambria" w:hAnsi="Cambria" w:cs="Times New Roman"/>
        </w:rPr>
        <w:br/>
        <w:t>1. Keskmine brutopalk.</w:t>
      </w:r>
      <w:r w:rsidRPr="001E744C">
        <w:rPr>
          <w:rFonts w:ascii="Cambria" w:hAnsi="Cambria" w:cs="Times New Roman"/>
        </w:rPr>
        <w:br/>
        <w:t>2. Tööhõive.</w:t>
      </w:r>
      <w:r w:rsidRPr="001E744C">
        <w:rPr>
          <w:rFonts w:ascii="Cambria" w:hAnsi="Cambria" w:cs="Times New Roman"/>
        </w:rPr>
        <w:br/>
        <w:t>3. Innovaatiliste ettevõtlustegevuste arv.</w:t>
      </w:r>
      <w:r w:rsidRPr="001E744C">
        <w:rPr>
          <w:rFonts w:ascii="Cambria" w:hAnsi="Cambria" w:cs="Times New Roman"/>
        </w:rPr>
        <w:br/>
        <w:t>4. Ettevõtjate ühisprojektide arv.</w:t>
      </w:r>
    </w:p>
    <w:p w:rsidR="004E35AA" w:rsidRPr="001E744C" w:rsidRDefault="004E35AA" w:rsidP="003F4BEE">
      <w:pPr>
        <w:rPr>
          <w:rFonts w:ascii="Cambria" w:hAnsi="Cambria" w:cs="Times New Roman"/>
        </w:rPr>
      </w:pPr>
    </w:p>
    <w:p w:rsidR="00765B60" w:rsidRPr="001E744C" w:rsidRDefault="00CB7714" w:rsidP="001E744C">
      <w:pPr>
        <w:spacing w:after="0"/>
        <w:rPr>
          <w:rFonts w:ascii="Cambria" w:hAnsi="Cambria" w:cs="Times New Roman"/>
          <w:b/>
        </w:rPr>
      </w:pPr>
      <w:r w:rsidRPr="001E744C">
        <w:rPr>
          <w:rFonts w:ascii="Cambria" w:hAnsi="Cambria" w:cs="Times New Roman"/>
          <w:b/>
        </w:rPr>
        <w:t>11.Projektitoetuse taotluste hindamiskriteeriumid</w:t>
      </w:r>
    </w:p>
    <w:p w:rsidR="00843D6D" w:rsidRPr="001E744C" w:rsidRDefault="00843D6D" w:rsidP="00B72111">
      <w:pPr>
        <w:rPr>
          <w:rFonts w:ascii="Cambria" w:hAnsi="Cambria" w:cs="Times New Roman"/>
        </w:rPr>
      </w:pPr>
      <w:r w:rsidRPr="001E744C">
        <w:rPr>
          <w:rFonts w:ascii="Cambria" w:hAnsi="Cambria" w:cs="Times New Roman"/>
        </w:rPr>
        <w:t>1. Vastavus PLPK strateegiale, meetme eesmärkidele ja rakenduskavale - osakaal kuni 20%: Projektitaotluse toetatavad tegevused vastavad/ ei vasta PLPK strateegiale, meetme eesmärkidele ja rakenduskavale.</w:t>
      </w:r>
      <w:r w:rsidRPr="001E744C">
        <w:rPr>
          <w:rFonts w:ascii="Cambria" w:hAnsi="Cambria" w:cs="Times New Roman"/>
        </w:rPr>
        <w:br/>
        <w:t>2. Tegevuste põhjendatus - osakaal kuni 20%: Projektitaotluses äriidee on loogiline. Luuakse uusi tooteid, teenuseid, sh kogukonnateenuseid.</w:t>
      </w:r>
      <w:r w:rsidRPr="001E744C">
        <w:rPr>
          <w:rFonts w:ascii="Cambria" w:hAnsi="Cambria" w:cs="Times New Roman"/>
        </w:rPr>
        <w:br/>
        <w:t xml:space="preserve">3. Mõju - osakaal kuni 20%: Mõeldud on tulevaste kulude optimeerimisele (nt energiasäästumeetmed, uute ja rekonstrueeritud hoonete energiaklass jms). Projekti rakendamine mõjutab taotleja majandustegevust. Tegevuspiirkonnas tehakse koostööd. Mõjud piirkonnale, ääremaastumisele. Säilitatakse olemasolevaid või luuakse uusi töökohti. Läbimõeldud toodete, teenuste </w:t>
      </w:r>
      <w:proofErr w:type="spellStart"/>
      <w:r w:rsidRPr="001E744C">
        <w:rPr>
          <w:rFonts w:ascii="Cambria" w:hAnsi="Cambria" w:cs="Times New Roman"/>
        </w:rPr>
        <w:t>turundamine</w:t>
      </w:r>
      <w:proofErr w:type="spellEnd"/>
      <w:r w:rsidRPr="001E744C">
        <w:rPr>
          <w:rFonts w:ascii="Cambria" w:hAnsi="Cambria" w:cs="Times New Roman"/>
        </w:rPr>
        <w:t>.</w:t>
      </w:r>
      <w:r w:rsidRPr="001E744C">
        <w:rPr>
          <w:rFonts w:ascii="Cambria" w:hAnsi="Cambria" w:cs="Times New Roman"/>
        </w:rPr>
        <w:br/>
        <w:t xml:space="preserve">4. Uuenduslikkus- osakaal kuni 15%: Uuenduslik tegevus lisandub tegevuspiirkonna tasandil; </w:t>
      </w:r>
      <w:r w:rsidRPr="00E63A24">
        <w:rPr>
          <w:rFonts w:ascii="Cambria" w:hAnsi="Cambria" w:cs="Times New Roman"/>
        </w:rPr>
        <w:t xml:space="preserve">Uuenduslik tegevus lisandub </w:t>
      </w:r>
      <w:proofErr w:type="spellStart"/>
      <w:r w:rsidRPr="00E63A24">
        <w:rPr>
          <w:rFonts w:ascii="Cambria" w:hAnsi="Cambria" w:cs="Times New Roman"/>
        </w:rPr>
        <w:t>KOV-i</w:t>
      </w:r>
      <w:proofErr w:type="spellEnd"/>
      <w:r w:rsidRPr="00E63A24">
        <w:rPr>
          <w:rFonts w:ascii="Cambria" w:hAnsi="Cambria" w:cs="Times New Roman"/>
        </w:rPr>
        <w:t xml:space="preserve"> tasandil; Uuenduslik tegevus lisandub </w:t>
      </w:r>
      <w:r w:rsidR="00AB69EE" w:rsidRPr="00E63A24">
        <w:rPr>
          <w:rFonts w:ascii="Cambria" w:hAnsi="Cambria" w:cs="Times New Roman"/>
        </w:rPr>
        <w:t>taotleja tasandil; Uuenduslikku tegevust ei lisandu.</w:t>
      </w:r>
      <w:r w:rsidRPr="00E63A24">
        <w:rPr>
          <w:rFonts w:ascii="Cambria" w:hAnsi="Cambria" w:cs="Times New Roman"/>
        </w:rPr>
        <w:br/>
      </w:r>
      <w:r w:rsidRPr="001E744C">
        <w:rPr>
          <w:rFonts w:ascii="Cambria" w:hAnsi="Cambria" w:cs="Times New Roman"/>
        </w:rPr>
        <w:t>5. Omaosaluse suurus - osakaal kuni 15%:                                                                                                                                                                                                                                                                                                              a) Omafinantseering ületab meetmes nõutavat määra vähemalt 20%.</w:t>
      </w:r>
      <w:r w:rsidRPr="001E744C">
        <w:rPr>
          <w:rFonts w:ascii="Cambria" w:hAnsi="Cambria" w:cs="Times New Roman"/>
        </w:rPr>
        <w:br/>
        <w:t>b) Omafinantseering ületab meetmes nõutavat määra vähemalt 10%.                                                                                                                                                                                                                                                                                           c) Omafinantseering ei ületa nõutavat määra.</w:t>
      </w:r>
      <w:r w:rsidRPr="001E744C">
        <w:rPr>
          <w:rFonts w:ascii="Cambria" w:hAnsi="Cambria" w:cs="Times New Roman"/>
        </w:rPr>
        <w:br/>
        <w:t xml:space="preserve">6. Esmataotleja - osakaal kuni 5%: On esmataotleja </w:t>
      </w:r>
      <w:proofErr w:type="spellStart"/>
      <w:r w:rsidRPr="001E744C">
        <w:rPr>
          <w:rFonts w:ascii="Cambria" w:hAnsi="Cambria" w:cs="Times New Roman"/>
        </w:rPr>
        <w:t>Leader</w:t>
      </w:r>
      <w:proofErr w:type="spellEnd"/>
      <w:r w:rsidRPr="001E744C">
        <w:rPr>
          <w:rFonts w:ascii="Cambria" w:hAnsi="Cambria" w:cs="Times New Roman"/>
        </w:rPr>
        <w:t xml:space="preserve"> meetmest alates 2008.a</w:t>
      </w:r>
      <w:r w:rsidRPr="001E744C">
        <w:rPr>
          <w:rFonts w:ascii="Cambria" w:hAnsi="Cambria" w:cs="Times New Roman"/>
        </w:rPr>
        <w:br/>
        <w:t>7. Noor ettevõtja - osakaal kuni 5%: Füüsilisest isikust ettevõtja, osaühingu või aktsiaseltsi kõik osanikud on taotlemise hetkel nooremad kui 40 aastat.</w:t>
      </w:r>
    </w:p>
    <w:p w:rsidR="00C730EA" w:rsidRPr="001E744C" w:rsidRDefault="00C730EA" w:rsidP="003F4BEE">
      <w:pPr>
        <w:rPr>
          <w:rFonts w:ascii="Cambria" w:hAnsi="Cambria" w:cs="Times New Roman"/>
        </w:rPr>
      </w:pPr>
    </w:p>
    <w:p w:rsidR="00E16F58" w:rsidRPr="001E744C" w:rsidRDefault="00E16F58" w:rsidP="00E16F58">
      <w:pPr>
        <w:rPr>
          <w:rFonts w:ascii="Cambria" w:eastAsia="Times New Roman" w:hAnsi="Cambria" w:cs="Times New Roman"/>
          <w:color w:val="000000"/>
          <w:sz w:val="16"/>
          <w:szCs w:val="16"/>
          <w:lang w:eastAsia="et-EE"/>
        </w:rPr>
      </w:pPr>
      <w:r w:rsidRPr="001E744C">
        <w:rPr>
          <w:rFonts w:ascii="Cambria" w:eastAsia="Times New Roman" w:hAnsi="Cambria" w:cs="Times New Roman"/>
          <w:color w:val="000000"/>
          <w:sz w:val="18"/>
          <w:szCs w:val="18"/>
          <w:lang w:eastAsia="et-EE"/>
        </w:rPr>
        <w:t xml:space="preserve">¹ </w:t>
      </w:r>
      <w:r w:rsidRPr="001E744C">
        <w:rPr>
          <w:rFonts w:ascii="Cambria" w:eastAsia="Times New Roman" w:hAnsi="Cambria" w:cs="Times New Roman"/>
          <w:color w:val="000000"/>
          <w:sz w:val="16"/>
          <w:szCs w:val="16"/>
          <w:lang w:eastAsia="et-EE"/>
        </w:rPr>
        <w:t>Täidetakse iga strateegia meetme kohta eraldi</w:t>
      </w:r>
    </w:p>
    <w:p w:rsidR="00E16F58" w:rsidRPr="001E744C" w:rsidRDefault="00E16F58" w:rsidP="00E16F58">
      <w:pPr>
        <w:rPr>
          <w:rFonts w:ascii="Cambria" w:eastAsia="Times New Roman" w:hAnsi="Cambria" w:cs="Times New Roman"/>
          <w:color w:val="000000"/>
          <w:sz w:val="16"/>
          <w:szCs w:val="16"/>
          <w:lang w:eastAsia="et-EE"/>
        </w:rPr>
      </w:pPr>
      <w:r w:rsidRPr="001E744C">
        <w:rPr>
          <w:rFonts w:ascii="Cambria" w:eastAsia="Times New Roman" w:hAnsi="Cambria" w:cs="Times New Roman"/>
          <w:color w:val="000000"/>
          <w:sz w:val="18"/>
          <w:szCs w:val="18"/>
          <w:lang w:eastAsia="et-EE"/>
        </w:rPr>
        <w:t xml:space="preserve">² </w:t>
      </w:r>
      <w:r w:rsidRPr="001E744C">
        <w:rPr>
          <w:rFonts w:ascii="Cambria" w:eastAsia="Times New Roman" w:hAnsi="Cambria" w:cs="Times New Roman"/>
          <w:color w:val="000000"/>
          <w:sz w:val="16"/>
          <w:szCs w:val="16"/>
          <w:lang w:eastAsia="et-EE"/>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p w:rsidR="00E16F58" w:rsidRPr="001E744C" w:rsidRDefault="00E16F58" w:rsidP="00E16F58">
      <w:pPr>
        <w:spacing w:after="0" w:line="240" w:lineRule="auto"/>
        <w:rPr>
          <w:rFonts w:ascii="Cambria" w:eastAsia="Times New Roman" w:hAnsi="Cambria" w:cs="Times New Roman"/>
          <w:color w:val="000000"/>
          <w:sz w:val="16"/>
          <w:szCs w:val="16"/>
          <w:lang w:eastAsia="et-EE"/>
        </w:rPr>
      </w:pPr>
      <w:r w:rsidRPr="001E744C">
        <w:rPr>
          <w:rFonts w:ascii="Cambria" w:eastAsia="Times New Roman" w:hAnsi="Cambria" w:cs="Times New Roman"/>
          <w:color w:val="000000"/>
          <w:sz w:val="16"/>
          <w:szCs w:val="16"/>
          <w:vertAlign w:val="superscript"/>
          <w:lang w:eastAsia="et-EE"/>
        </w:rPr>
        <w:t xml:space="preserve">3      </w:t>
      </w:r>
      <w:r w:rsidRPr="001E744C">
        <w:rPr>
          <w:rFonts w:ascii="Cambria" w:eastAsia="Times New Roman" w:hAnsi="Cambria" w:cs="Times New Roman"/>
          <w:color w:val="000000"/>
          <w:sz w:val="16"/>
          <w:szCs w:val="16"/>
          <w:lang w:eastAsia="et-EE"/>
        </w:rPr>
        <w:t>Euroopa Parlamendi ja nõukogu määrus (EL) nr 1305/2013</w:t>
      </w:r>
    </w:p>
    <w:p w:rsidR="00E16F58" w:rsidRPr="001E744C" w:rsidRDefault="00923EE5" w:rsidP="00E16F58">
      <w:pPr>
        <w:spacing w:after="0" w:line="240" w:lineRule="auto"/>
        <w:rPr>
          <w:rFonts w:ascii="Cambria" w:eastAsia="Times New Roman" w:hAnsi="Cambria" w:cs="Times New Roman"/>
          <w:color w:val="0000FF"/>
          <w:sz w:val="16"/>
          <w:szCs w:val="16"/>
          <w:u w:val="single"/>
          <w:lang w:eastAsia="et-EE"/>
        </w:rPr>
      </w:pPr>
      <w:hyperlink r:id="rId4" w:history="1">
        <w:r w:rsidR="00E16F58" w:rsidRPr="001E744C">
          <w:rPr>
            <w:rFonts w:ascii="Cambria" w:eastAsia="Times New Roman" w:hAnsi="Cambria" w:cs="Times New Roman"/>
            <w:color w:val="0000FF"/>
            <w:sz w:val="16"/>
            <w:szCs w:val="16"/>
            <w:u w:val="single"/>
            <w:lang w:eastAsia="et-EE"/>
          </w:rPr>
          <w:t>http://eur-lex.europa.eu/LexUriServ/LexUriServ.do?uri=OJ:L:2013:347:0487:0548:ET:PDF</w:t>
        </w:r>
      </w:hyperlink>
    </w:p>
    <w:p w:rsidR="00E16F58" w:rsidRPr="001E744C" w:rsidRDefault="00E16F58" w:rsidP="00E16F58">
      <w:pPr>
        <w:spacing w:after="0" w:line="240" w:lineRule="auto"/>
        <w:rPr>
          <w:rFonts w:ascii="Cambria" w:eastAsia="Times New Roman" w:hAnsi="Cambria" w:cs="Times New Roman"/>
          <w:color w:val="000000"/>
          <w:sz w:val="18"/>
          <w:szCs w:val="18"/>
          <w:lang w:eastAsia="et-EE"/>
        </w:rPr>
      </w:pPr>
    </w:p>
    <w:p w:rsidR="00E16F58" w:rsidRPr="001E744C" w:rsidRDefault="00E16F58" w:rsidP="00E16F58">
      <w:pPr>
        <w:spacing w:after="0" w:line="240" w:lineRule="auto"/>
        <w:rPr>
          <w:rFonts w:ascii="Cambria" w:eastAsia="Times New Roman" w:hAnsi="Cambria" w:cs="Times New Roman"/>
          <w:color w:val="000000"/>
          <w:sz w:val="18"/>
          <w:szCs w:val="18"/>
          <w:lang w:eastAsia="et-EE"/>
        </w:rPr>
      </w:pPr>
    </w:p>
    <w:p w:rsidR="0068496C" w:rsidRPr="001E744C" w:rsidRDefault="0068496C" w:rsidP="00B72111">
      <w:pPr>
        <w:rPr>
          <w:rFonts w:ascii="Cambria" w:hAnsi="Cambria" w:cs="Times New Roman"/>
        </w:rPr>
      </w:pPr>
      <w:r w:rsidRPr="001E744C">
        <w:rPr>
          <w:rFonts w:ascii="Cambria" w:hAnsi="Cambria" w:cs="Times New Roman"/>
        </w:rPr>
        <w:t xml:space="preserve">                                   </w:t>
      </w:r>
    </w:p>
    <w:p w:rsidR="00993B80" w:rsidRPr="00B72111" w:rsidRDefault="00993B80" w:rsidP="00993B80">
      <w:pPr>
        <w:rPr>
          <w:rFonts w:ascii="Times New Roman" w:hAnsi="Times New Roman" w:cs="Times New Roman"/>
        </w:rPr>
      </w:pPr>
      <w:r w:rsidRPr="00B72111">
        <w:rPr>
          <w:rFonts w:ascii="Times New Roman" w:hAnsi="Times New Roman" w:cs="Times New Roman"/>
        </w:rPr>
        <w:tab/>
      </w:r>
      <w:r w:rsidRPr="00B72111">
        <w:rPr>
          <w:rFonts w:ascii="Times New Roman" w:hAnsi="Times New Roman" w:cs="Times New Roman"/>
        </w:rPr>
        <w:tab/>
      </w:r>
      <w:r w:rsidRPr="00B72111">
        <w:rPr>
          <w:rFonts w:ascii="Times New Roman" w:hAnsi="Times New Roman" w:cs="Times New Roman"/>
        </w:rPr>
        <w:tab/>
      </w:r>
      <w:r w:rsidRPr="00B72111">
        <w:rPr>
          <w:rFonts w:ascii="Times New Roman" w:hAnsi="Times New Roman" w:cs="Times New Roman"/>
        </w:rPr>
        <w:tab/>
      </w:r>
      <w:r w:rsidRPr="00B72111">
        <w:rPr>
          <w:rFonts w:ascii="Times New Roman" w:hAnsi="Times New Roman" w:cs="Times New Roman"/>
        </w:rPr>
        <w:tab/>
      </w:r>
      <w:r w:rsidRPr="00B72111">
        <w:rPr>
          <w:rFonts w:ascii="Times New Roman" w:hAnsi="Times New Roman" w:cs="Times New Roman"/>
        </w:rPr>
        <w:tab/>
      </w:r>
      <w:r w:rsidRPr="00B72111">
        <w:rPr>
          <w:rFonts w:ascii="Times New Roman" w:hAnsi="Times New Roman" w:cs="Times New Roman"/>
        </w:rPr>
        <w:tab/>
      </w:r>
      <w:r w:rsidRPr="00B72111">
        <w:rPr>
          <w:rFonts w:ascii="Times New Roman" w:hAnsi="Times New Roman" w:cs="Times New Roman"/>
        </w:rPr>
        <w:tab/>
      </w:r>
    </w:p>
    <w:p w:rsidR="00CE7B68" w:rsidRPr="00B72111" w:rsidRDefault="00CE7B68" w:rsidP="00184E15">
      <w:pPr>
        <w:rPr>
          <w:rFonts w:ascii="Times New Roman" w:hAnsi="Times New Roman" w:cs="Times New Roman"/>
        </w:rPr>
      </w:pPr>
    </w:p>
    <w:p w:rsidR="001B57F0" w:rsidRPr="00B72111" w:rsidRDefault="001B57F0">
      <w:pPr>
        <w:rPr>
          <w:rFonts w:ascii="Times New Roman" w:hAnsi="Times New Roman" w:cs="Times New Roman"/>
        </w:rPr>
      </w:pPr>
    </w:p>
    <w:sectPr w:rsidR="001B57F0" w:rsidRPr="00B72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Roboto Condense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A6"/>
    <w:rsid w:val="00003E20"/>
    <w:rsid w:val="000218A4"/>
    <w:rsid w:val="000A05CE"/>
    <w:rsid w:val="000A0B76"/>
    <w:rsid w:val="000F19CA"/>
    <w:rsid w:val="00140EB7"/>
    <w:rsid w:val="00143D3D"/>
    <w:rsid w:val="00153553"/>
    <w:rsid w:val="00184E15"/>
    <w:rsid w:val="001A2321"/>
    <w:rsid w:val="001A52E5"/>
    <w:rsid w:val="001B57F0"/>
    <w:rsid w:val="001B6E63"/>
    <w:rsid w:val="001E744C"/>
    <w:rsid w:val="0027794F"/>
    <w:rsid w:val="00286C09"/>
    <w:rsid w:val="0029534E"/>
    <w:rsid w:val="002D66E8"/>
    <w:rsid w:val="003233AE"/>
    <w:rsid w:val="00323DCB"/>
    <w:rsid w:val="00363D6E"/>
    <w:rsid w:val="00382FA6"/>
    <w:rsid w:val="003C2FF9"/>
    <w:rsid w:val="003F4BEE"/>
    <w:rsid w:val="004173F9"/>
    <w:rsid w:val="004D56C1"/>
    <w:rsid w:val="004E35AA"/>
    <w:rsid w:val="00501F9A"/>
    <w:rsid w:val="005327E6"/>
    <w:rsid w:val="00594440"/>
    <w:rsid w:val="005A5B37"/>
    <w:rsid w:val="005C29F5"/>
    <w:rsid w:val="005F02EA"/>
    <w:rsid w:val="005F4C68"/>
    <w:rsid w:val="00614149"/>
    <w:rsid w:val="00616354"/>
    <w:rsid w:val="0068496C"/>
    <w:rsid w:val="006906FC"/>
    <w:rsid w:val="006F62D6"/>
    <w:rsid w:val="00765B60"/>
    <w:rsid w:val="007A36D8"/>
    <w:rsid w:val="007D47EB"/>
    <w:rsid w:val="00843D6D"/>
    <w:rsid w:val="00922FAF"/>
    <w:rsid w:val="00923EE5"/>
    <w:rsid w:val="00965DA7"/>
    <w:rsid w:val="00993B80"/>
    <w:rsid w:val="00994C92"/>
    <w:rsid w:val="009A4E70"/>
    <w:rsid w:val="009B7A7C"/>
    <w:rsid w:val="00A17BD0"/>
    <w:rsid w:val="00A2358E"/>
    <w:rsid w:val="00A25E1A"/>
    <w:rsid w:val="00A65C58"/>
    <w:rsid w:val="00A70B16"/>
    <w:rsid w:val="00AB69EE"/>
    <w:rsid w:val="00B05747"/>
    <w:rsid w:val="00B240CB"/>
    <w:rsid w:val="00B71A97"/>
    <w:rsid w:val="00B72111"/>
    <w:rsid w:val="00C16413"/>
    <w:rsid w:val="00C730EA"/>
    <w:rsid w:val="00CB7714"/>
    <w:rsid w:val="00CC5B78"/>
    <w:rsid w:val="00CD02C3"/>
    <w:rsid w:val="00CD69E6"/>
    <w:rsid w:val="00CE7B68"/>
    <w:rsid w:val="00D06788"/>
    <w:rsid w:val="00D77492"/>
    <w:rsid w:val="00DA54DA"/>
    <w:rsid w:val="00E01911"/>
    <w:rsid w:val="00E16F58"/>
    <w:rsid w:val="00E2779B"/>
    <w:rsid w:val="00E354C9"/>
    <w:rsid w:val="00E35C38"/>
    <w:rsid w:val="00E37A04"/>
    <w:rsid w:val="00E63A24"/>
    <w:rsid w:val="00EF56C4"/>
    <w:rsid w:val="00F12F05"/>
    <w:rsid w:val="00FC038E"/>
    <w:rsid w:val="00FF27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C1267-1D15-465F-A9EF-CC07B23C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82FA6"/>
    <w:pPr>
      <w:ind w:left="720"/>
      <w:contextualSpacing/>
    </w:pPr>
  </w:style>
  <w:style w:type="character" w:styleId="Hperlink">
    <w:name w:val="Hyperlink"/>
    <w:basedOn w:val="Liguvaikefont"/>
    <w:uiPriority w:val="99"/>
    <w:semiHidden/>
    <w:unhideWhenUsed/>
    <w:rsid w:val="00DA54DA"/>
    <w:rPr>
      <w:color w:val="0000FF"/>
      <w:u w:val="single"/>
    </w:rPr>
  </w:style>
  <w:style w:type="paragraph" w:styleId="Normaallaadveeb">
    <w:name w:val="Normal (Web)"/>
    <w:basedOn w:val="Normaallaad"/>
    <w:uiPriority w:val="99"/>
    <w:unhideWhenUsed/>
    <w:rsid w:val="00E35C38"/>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003E2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0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4236">
      <w:bodyDiv w:val="1"/>
      <w:marLeft w:val="0"/>
      <w:marRight w:val="0"/>
      <w:marTop w:val="0"/>
      <w:marBottom w:val="0"/>
      <w:divBdr>
        <w:top w:val="none" w:sz="0" w:space="0" w:color="auto"/>
        <w:left w:val="none" w:sz="0" w:space="0" w:color="auto"/>
        <w:bottom w:val="none" w:sz="0" w:space="0" w:color="auto"/>
        <w:right w:val="none" w:sz="0" w:space="0" w:color="auto"/>
      </w:divBdr>
    </w:div>
    <w:div w:id="509488668">
      <w:bodyDiv w:val="1"/>
      <w:marLeft w:val="0"/>
      <w:marRight w:val="0"/>
      <w:marTop w:val="0"/>
      <w:marBottom w:val="0"/>
      <w:divBdr>
        <w:top w:val="none" w:sz="0" w:space="0" w:color="auto"/>
        <w:left w:val="none" w:sz="0" w:space="0" w:color="auto"/>
        <w:bottom w:val="none" w:sz="0" w:space="0" w:color="auto"/>
        <w:right w:val="none" w:sz="0" w:space="0" w:color="auto"/>
      </w:divBdr>
    </w:div>
    <w:div w:id="690033069">
      <w:bodyDiv w:val="1"/>
      <w:marLeft w:val="0"/>
      <w:marRight w:val="0"/>
      <w:marTop w:val="0"/>
      <w:marBottom w:val="0"/>
      <w:divBdr>
        <w:top w:val="none" w:sz="0" w:space="0" w:color="auto"/>
        <w:left w:val="none" w:sz="0" w:space="0" w:color="auto"/>
        <w:bottom w:val="none" w:sz="0" w:space="0" w:color="auto"/>
        <w:right w:val="none" w:sz="0" w:space="0" w:color="auto"/>
      </w:divBdr>
    </w:div>
    <w:div w:id="713625053">
      <w:bodyDiv w:val="1"/>
      <w:marLeft w:val="0"/>
      <w:marRight w:val="0"/>
      <w:marTop w:val="0"/>
      <w:marBottom w:val="0"/>
      <w:divBdr>
        <w:top w:val="none" w:sz="0" w:space="0" w:color="auto"/>
        <w:left w:val="none" w:sz="0" w:space="0" w:color="auto"/>
        <w:bottom w:val="none" w:sz="0" w:space="0" w:color="auto"/>
        <w:right w:val="none" w:sz="0" w:space="0" w:color="auto"/>
      </w:divBdr>
    </w:div>
    <w:div w:id="1038159757">
      <w:bodyDiv w:val="1"/>
      <w:marLeft w:val="0"/>
      <w:marRight w:val="0"/>
      <w:marTop w:val="0"/>
      <w:marBottom w:val="0"/>
      <w:divBdr>
        <w:top w:val="none" w:sz="0" w:space="0" w:color="auto"/>
        <w:left w:val="none" w:sz="0" w:space="0" w:color="auto"/>
        <w:bottom w:val="none" w:sz="0" w:space="0" w:color="auto"/>
        <w:right w:val="none" w:sz="0" w:space="0" w:color="auto"/>
      </w:divBdr>
    </w:div>
    <w:div w:id="1072509410">
      <w:bodyDiv w:val="1"/>
      <w:marLeft w:val="0"/>
      <w:marRight w:val="0"/>
      <w:marTop w:val="0"/>
      <w:marBottom w:val="0"/>
      <w:divBdr>
        <w:top w:val="none" w:sz="0" w:space="0" w:color="auto"/>
        <w:left w:val="none" w:sz="0" w:space="0" w:color="auto"/>
        <w:bottom w:val="none" w:sz="0" w:space="0" w:color="auto"/>
        <w:right w:val="none" w:sz="0" w:space="0" w:color="auto"/>
      </w:divBdr>
    </w:div>
    <w:div w:id="1142120214">
      <w:bodyDiv w:val="1"/>
      <w:marLeft w:val="0"/>
      <w:marRight w:val="0"/>
      <w:marTop w:val="0"/>
      <w:marBottom w:val="0"/>
      <w:divBdr>
        <w:top w:val="none" w:sz="0" w:space="0" w:color="auto"/>
        <w:left w:val="none" w:sz="0" w:space="0" w:color="auto"/>
        <w:bottom w:val="none" w:sz="0" w:space="0" w:color="auto"/>
        <w:right w:val="none" w:sz="0" w:space="0" w:color="auto"/>
      </w:divBdr>
    </w:div>
    <w:div w:id="1194072152">
      <w:bodyDiv w:val="1"/>
      <w:marLeft w:val="0"/>
      <w:marRight w:val="0"/>
      <w:marTop w:val="0"/>
      <w:marBottom w:val="0"/>
      <w:divBdr>
        <w:top w:val="none" w:sz="0" w:space="0" w:color="auto"/>
        <w:left w:val="none" w:sz="0" w:space="0" w:color="auto"/>
        <w:bottom w:val="none" w:sz="0" w:space="0" w:color="auto"/>
        <w:right w:val="none" w:sz="0" w:space="0" w:color="auto"/>
      </w:divBdr>
    </w:div>
    <w:div w:id="1324897777">
      <w:bodyDiv w:val="1"/>
      <w:marLeft w:val="0"/>
      <w:marRight w:val="0"/>
      <w:marTop w:val="0"/>
      <w:marBottom w:val="0"/>
      <w:divBdr>
        <w:top w:val="none" w:sz="0" w:space="0" w:color="auto"/>
        <w:left w:val="none" w:sz="0" w:space="0" w:color="auto"/>
        <w:bottom w:val="none" w:sz="0" w:space="0" w:color="auto"/>
        <w:right w:val="none" w:sz="0" w:space="0" w:color="auto"/>
      </w:divBdr>
    </w:div>
    <w:div w:id="1378235067">
      <w:bodyDiv w:val="1"/>
      <w:marLeft w:val="0"/>
      <w:marRight w:val="0"/>
      <w:marTop w:val="0"/>
      <w:marBottom w:val="0"/>
      <w:divBdr>
        <w:top w:val="none" w:sz="0" w:space="0" w:color="auto"/>
        <w:left w:val="none" w:sz="0" w:space="0" w:color="auto"/>
        <w:bottom w:val="none" w:sz="0" w:space="0" w:color="auto"/>
        <w:right w:val="none" w:sz="0" w:space="0" w:color="auto"/>
      </w:divBdr>
    </w:div>
    <w:div w:id="1584073153">
      <w:bodyDiv w:val="1"/>
      <w:marLeft w:val="0"/>
      <w:marRight w:val="0"/>
      <w:marTop w:val="0"/>
      <w:marBottom w:val="0"/>
      <w:divBdr>
        <w:top w:val="none" w:sz="0" w:space="0" w:color="auto"/>
        <w:left w:val="none" w:sz="0" w:space="0" w:color="auto"/>
        <w:bottom w:val="none" w:sz="0" w:space="0" w:color="auto"/>
        <w:right w:val="none" w:sz="0" w:space="0" w:color="auto"/>
      </w:divBdr>
    </w:div>
    <w:div w:id="1834292800">
      <w:bodyDiv w:val="1"/>
      <w:marLeft w:val="0"/>
      <w:marRight w:val="0"/>
      <w:marTop w:val="0"/>
      <w:marBottom w:val="0"/>
      <w:divBdr>
        <w:top w:val="none" w:sz="0" w:space="0" w:color="auto"/>
        <w:left w:val="none" w:sz="0" w:space="0" w:color="auto"/>
        <w:bottom w:val="none" w:sz="0" w:space="0" w:color="auto"/>
        <w:right w:val="none" w:sz="0" w:space="0" w:color="auto"/>
      </w:divBdr>
    </w:div>
    <w:div w:id="19784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2101</Words>
  <Characters>12192</Characters>
  <Application>Microsoft Office Word</Application>
  <DocSecurity>0</DocSecurity>
  <Lines>101</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Koidu Kuura</dc:creator>
  <cp:keywords/>
  <dc:description/>
  <cp:lastModifiedBy>Koidu Kuura</cp:lastModifiedBy>
  <cp:revision>2</cp:revision>
  <cp:lastPrinted>2018-02-09T07:12:00Z</cp:lastPrinted>
  <dcterms:created xsi:type="dcterms:W3CDTF">2019-10-01T05:24:00Z</dcterms:created>
  <dcterms:modified xsi:type="dcterms:W3CDTF">2019-10-01T05:24:00Z</dcterms:modified>
</cp:coreProperties>
</file>